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3D673333" w:rsidR="00105109" w:rsidRPr="00225165" w:rsidRDefault="007A059F" w:rsidP="0057017C">
      <w:pPr>
        <w:pStyle w:val="Heading1"/>
        <w:jc w:val="both"/>
        <w:rPr>
          <w:rFonts w:ascii="Arial" w:hAnsi="Arial" w:cs="Arial"/>
          <w:sz w:val="32"/>
          <w:szCs w:val="24"/>
        </w:rPr>
      </w:pPr>
      <w:r>
        <w:rPr>
          <w:rFonts w:ascii="Arial" w:eastAsia="Times New Roman" w:hAnsi="Arial" w:cs="Arial"/>
          <w:b/>
          <w:sz w:val="32"/>
          <w:szCs w:val="24"/>
        </w:rPr>
        <w:t>Navy/Military</w:t>
      </w:r>
      <w:bookmarkStart w:id="0" w:name="_GoBack"/>
      <w:bookmarkEnd w:id="0"/>
      <w:r w:rsidR="00F66300" w:rsidRPr="00225165">
        <w:rPr>
          <w:rFonts w:ascii="Arial" w:eastAsia="Times New Roman" w:hAnsi="Arial" w:cs="Arial"/>
          <w:b/>
          <w:sz w:val="32"/>
          <w:szCs w:val="24"/>
        </w:rPr>
        <w:t xml:space="preserve"> Biography Template</w:t>
      </w: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r w:rsidRPr="0057017C">
        <w:rPr>
          <w:rFonts w:ascii="Arial" w:hAnsi="Arial" w:cs="Arial"/>
          <w:color w:val="1C1E29"/>
        </w:rPr>
        <w:t> </w:t>
      </w:r>
    </w:p>
    <w:p w14:paraId="0102CF05"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 xml:space="preserve">Working with the military in a top-level position would entail a lot of responsibilities. Duncan Peters, for instance, is the Manager of the Technical Domain, Deputy Warranting Officer, and Group Director for Performance Engineering and Ship Integrity in the Sea System Command of the Navy at the Engineering Directorate. </w:t>
      </w:r>
    </w:p>
    <w:p w14:paraId="63CCA744" w14:textId="77777777" w:rsidR="007A059F" w:rsidRDefault="007A059F" w:rsidP="007A059F">
      <w:pPr>
        <w:pStyle w:val="ListParagraph"/>
        <w:ind w:left="0"/>
        <w:jc w:val="both"/>
        <w:rPr>
          <w:rFonts w:ascii="Arial" w:eastAsia="Times New Roman" w:hAnsi="Arial" w:cs="Arial"/>
          <w:szCs w:val="28"/>
        </w:rPr>
      </w:pPr>
    </w:p>
    <w:p w14:paraId="3D39BB3D"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 xml:space="preserve">This position makes Duncan responsible for managing and leading a team of more than 200 individuals composed of government, contractor, and military personnel, including 50 holders of Technical Warrants. Duncan also supervises the execution of technical authority across a domain of more than 1,300 people in Warfare Centers. </w:t>
      </w:r>
    </w:p>
    <w:p w14:paraId="6AD0E8CD" w14:textId="77777777" w:rsidR="007A059F" w:rsidRDefault="007A059F" w:rsidP="007A059F">
      <w:pPr>
        <w:pStyle w:val="ListParagraph"/>
        <w:ind w:left="0"/>
        <w:jc w:val="both"/>
        <w:rPr>
          <w:rFonts w:ascii="Arial" w:eastAsia="Times New Roman" w:hAnsi="Arial" w:cs="Arial"/>
          <w:szCs w:val="28"/>
        </w:rPr>
      </w:pPr>
    </w:p>
    <w:p w14:paraId="6B7FF1E9"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 xml:space="preserve">Duncan's main functions for Core Engineering include Surface Submarine, Aircraft, and Ship Carrier Signatures, as well as, Susceptibility, Shock, Vulnerability, Firefighting, Damage Control, Structural Integrity of Ships and Submarines, </w:t>
      </w:r>
      <w:proofErr w:type="spellStart"/>
      <w:r>
        <w:rPr>
          <w:rFonts w:ascii="Arial" w:eastAsia="Times New Roman" w:hAnsi="Arial" w:cs="Arial"/>
          <w:szCs w:val="28"/>
        </w:rPr>
        <w:t>Chem</w:t>
      </w:r>
      <w:proofErr w:type="spellEnd"/>
      <w:r>
        <w:rPr>
          <w:rFonts w:ascii="Arial" w:eastAsia="Times New Roman" w:hAnsi="Arial" w:cs="Arial"/>
          <w:szCs w:val="28"/>
        </w:rPr>
        <w:t>-Bio Defense, Structural Systems for Deep Submergence, Corrosion Control, Non-Metallic and Metallic Materials, Lubricants and Fuels, Welding, Weights, Environmental Protection, Stability, Arrangements, and Hydrodynamics for all new acquisition and in-service submarines and ships.  Duncan directs his reports to the Executive Director and Chief Commander of the Engineering Directorate Navy Systems.</w:t>
      </w:r>
    </w:p>
    <w:p w14:paraId="26707826" w14:textId="77777777" w:rsidR="007A059F" w:rsidRDefault="007A059F" w:rsidP="007A059F">
      <w:pPr>
        <w:pStyle w:val="ListParagraph"/>
        <w:ind w:left="0"/>
        <w:jc w:val="both"/>
        <w:rPr>
          <w:rFonts w:ascii="Arial" w:eastAsia="Times New Roman" w:hAnsi="Arial" w:cs="Arial"/>
          <w:szCs w:val="28"/>
        </w:rPr>
      </w:pPr>
    </w:p>
    <w:p w14:paraId="43BE1110"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 xml:space="preserve">During his thirty-two years of service, Duncan has held various key leadership positions which involved increasing levels of responsibility, accountability, and authority. In 1983, Duncan got assigned in Philadelphia to a project engineer post at the Engineering Station of the Naval Ship Systems. </w:t>
      </w:r>
    </w:p>
    <w:p w14:paraId="6DA162AF" w14:textId="77777777" w:rsidR="007A059F" w:rsidRDefault="007A059F" w:rsidP="007A059F">
      <w:pPr>
        <w:pStyle w:val="ListParagraph"/>
        <w:ind w:left="0"/>
        <w:jc w:val="both"/>
        <w:rPr>
          <w:rFonts w:ascii="Arial" w:eastAsia="Times New Roman" w:hAnsi="Arial" w:cs="Arial"/>
          <w:szCs w:val="28"/>
        </w:rPr>
      </w:pPr>
    </w:p>
    <w:p w14:paraId="6353C58A"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His first assignment was in survivability equipment testing, damage control, and evaluation. Duncan's various positions were the Section Head for Ship Protection, Branch Head for Ship Structural Integrity and Survivability</w:t>
      </w:r>
      <w:proofErr w:type="gramStart"/>
      <w:r>
        <w:rPr>
          <w:rFonts w:ascii="Arial" w:eastAsia="Times New Roman" w:hAnsi="Arial" w:cs="Arial"/>
          <w:szCs w:val="28"/>
        </w:rPr>
        <w:t>,  and</w:t>
      </w:r>
      <w:proofErr w:type="gramEnd"/>
      <w:r>
        <w:rPr>
          <w:rFonts w:ascii="Arial" w:eastAsia="Times New Roman" w:hAnsi="Arial" w:cs="Arial"/>
          <w:szCs w:val="28"/>
        </w:rPr>
        <w:t xml:space="preserve"> Branch Head for Non-Destructive Welding and Evaluation. </w:t>
      </w:r>
    </w:p>
    <w:p w14:paraId="1FCE239D" w14:textId="77777777" w:rsidR="007A059F" w:rsidRDefault="007A059F" w:rsidP="007A059F">
      <w:pPr>
        <w:pStyle w:val="ListParagraph"/>
        <w:ind w:left="0"/>
        <w:jc w:val="both"/>
        <w:rPr>
          <w:rFonts w:ascii="Arial" w:eastAsia="Times New Roman" w:hAnsi="Arial" w:cs="Arial"/>
          <w:szCs w:val="28"/>
        </w:rPr>
      </w:pPr>
    </w:p>
    <w:p w14:paraId="423907C4"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 xml:space="preserve">In 2001, Duncan got assigned at NSWC as the Integration Manager for Submarine Programs' Structures, Materials, and Survivability Department. In 2003, he became Division Head of the Weapons and Survivability Effect. </w:t>
      </w:r>
    </w:p>
    <w:p w14:paraId="20EBB9DB" w14:textId="77777777" w:rsidR="007A059F" w:rsidRDefault="007A059F" w:rsidP="007A059F">
      <w:pPr>
        <w:pStyle w:val="ListParagraph"/>
        <w:ind w:left="0"/>
        <w:jc w:val="both"/>
        <w:rPr>
          <w:rFonts w:ascii="Arial" w:eastAsia="Times New Roman" w:hAnsi="Arial" w:cs="Arial"/>
          <w:szCs w:val="28"/>
        </w:rPr>
      </w:pPr>
    </w:p>
    <w:p w14:paraId="0E45BD42"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For this position, he was in charge of supervising a team of over 130 engineers, associated facilities, and scientists.  The division he led was in charge of developing advanced, innovative technologies and for providing technical expertise throughout damage tolerance (recoverability and vulnerability) and the domains of weapons effectiveness. Duncan also became the Leader of Core Equity for the Warfare Center's Survivability and Vulnerability Systems.</w:t>
      </w:r>
    </w:p>
    <w:p w14:paraId="247A5762" w14:textId="77777777" w:rsidR="007A059F" w:rsidRDefault="007A059F" w:rsidP="007A059F">
      <w:pPr>
        <w:pStyle w:val="ListParagraph"/>
        <w:ind w:left="0"/>
        <w:jc w:val="both"/>
        <w:rPr>
          <w:rFonts w:ascii="Arial" w:eastAsia="Times New Roman" w:hAnsi="Arial" w:cs="Arial"/>
          <w:szCs w:val="28"/>
        </w:rPr>
      </w:pPr>
    </w:p>
    <w:p w14:paraId="04770C3E"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From 2011 to 2015, Duncan got chosen as the Group Deputy Director for the Performance Engineering and Ship Integrity Group at the Command for Naval Sea Systems. Recently, he became the Head of Naval Engineering and Architecture Department at the Center for Surface Warfare of the Navy (</w:t>
      </w:r>
      <w:proofErr w:type="spellStart"/>
      <w:r>
        <w:rPr>
          <w:rFonts w:ascii="Arial" w:eastAsia="Times New Roman" w:hAnsi="Arial" w:cs="Arial"/>
          <w:szCs w:val="28"/>
        </w:rPr>
        <w:t>Carderock</w:t>
      </w:r>
      <w:proofErr w:type="spellEnd"/>
      <w:r>
        <w:rPr>
          <w:rFonts w:ascii="Arial" w:eastAsia="Times New Roman" w:hAnsi="Arial" w:cs="Arial"/>
          <w:szCs w:val="28"/>
        </w:rPr>
        <w:t xml:space="preserve"> Division). </w:t>
      </w:r>
    </w:p>
    <w:p w14:paraId="661D5E7E" w14:textId="77777777" w:rsidR="007A059F" w:rsidRDefault="007A059F" w:rsidP="007A059F">
      <w:pPr>
        <w:pStyle w:val="ListParagraph"/>
        <w:ind w:left="0"/>
        <w:jc w:val="both"/>
        <w:rPr>
          <w:rFonts w:ascii="Arial" w:eastAsia="Times New Roman" w:hAnsi="Arial" w:cs="Arial"/>
          <w:szCs w:val="28"/>
        </w:rPr>
      </w:pPr>
    </w:p>
    <w:p w14:paraId="0FBEFBEA"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lastRenderedPageBreak/>
        <w:t>He was in charge of a workforce of over 500 people with more than $150 million in yearly customer funding. Duncan was also in charge of overseeing over $3 billion in test facilities for hydrodynamics, including several national, world-renowned, assets. Duncan became a member of the Senior Executive Service upon his selection as the Director for Performance Engineering and Ship Integrity.</w:t>
      </w:r>
    </w:p>
    <w:p w14:paraId="2CD30851" w14:textId="77777777" w:rsidR="007A059F" w:rsidRDefault="007A059F" w:rsidP="007A059F">
      <w:pPr>
        <w:pStyle w:val="ListParagraph"/>
        <w:ind w:left="0"/>
        <w:jc w:val="both"/>
        <w:rPr>
          <w:rFonts w:ascii="Arial" w:eastAsia="Times New Roman" w:hAnsi="Arial" w:cs="Arial"/>
          <w:szCs w:val="28"/>
        </w:rPr>
      </w:pPr>
    </w:p>
    <w:p w14:paraId="36F2C9C4"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 xml:space="preserve">In terms of Duncan's other educational accomplishments, he earned a Bachelor's degree in Engineering at the University of Pittsburg. He also earned a Master's degree in Engineering at the Pennsylvania University. Finally, Duncan was also a graduate of the Harvard Kennedy Government School - the Program for Senior Executives. Duncan has received a few significant awards as well. </w:t>
      </w:r>
    </w:p>
    <w:p w14:paraId="1B3342D7" w14:textId="77777777" w:rsidR="007A059F" w:rsidRDefault="007A059F" w:rsidP="007A059F">
      <w:pPr>
        <w:pStyle w:val="ListParagraph"/>
        <w:ind w:left="0"/>
        <w:jc w:val="both"/>
        <w:rPr>
          <w:rFonts w:ascii="Arial" w:eastAsia="Times New Roman" w:hAnsi="Arial" w:cs="Arial"/>
          <w:szCs w:val="28"/>
        </w:rPr>
      </w:pPr>
    </w:p>
    <w:p w14:paraId="1897F565" w14:textId="77777777" w:rsidR="007A059F" w:rsidRDefault="007A059F" w:rsidP="007A059F">
      <w:pPr>
        <w:pStyle w:val="ListParagraph"/>
        <w:ind w:left="0"/>
        <w:jc w:val="both"/>
        <w:rPr>
          <w:rFonts w:ascii="Arial" w:eastAsia="Times New Roman" w:hAnsi="Arial" w:cs="Arial"/>
          <w:szCs w:val="28"/>
        </w:rPr>
      </w:pPr>
      <w:r>
        <w:rPr>
          <w:rFonts w:ascii="Arial" w:eastAsia="Times New Roman" w:hAnsi="Arial" w:cs="Arial"/>
          <w:szCs w:val="28"/>
        </w:rPr>
        <w:t>These include the Supervisor of the Year Award from the Federal Executive Board of Philadelphia, the Technical Authority Award from NAVSEA, and the Meritorious Service Award awarded by the Navy.</w:t>
      </w:r>
    </w:p>
    <w:p w14:paraId="41384889" w14:textId="0B48351F" w:rsidR="00646602" w:rsidRPr="008A2BE0" w:rsidRDefault="00646602" w:rsidP="00646602">
      <w:pPr>
        <w:pStyle w:val="NormalWeb"/>
        <w:spacing w:before="0" w:beforeAutospacing="0" w:after="0" w:afterAutospacing="0"/>
        <w:jc w:val="both"/>
        <w:rPr>
          <w:rFonts w:ascii="Arial" w:hAnsi="Arial" w:cs="Arial"/>
          <w:color w:val="1C1E29"/>
        </w:rPr>
      </w:pPr>
    </w:p>
    <w:sectPr w:rsidR="00646602" w:rsidRPr="008A2B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EDA19" w14:textId="77777777" w:rsidR="00EC32ED" w:rsidRDefault="00EC32ED" w:rsidP="00CB37D9">
      <w:pPr>
        <w:spacing w:after="0" w:line="240" w:lineRule="auto"/>
      </w:pPr>
      <w:r>
        <w:separator/>
      </w:r>
    </w:p>
  </w:endnote>
  <w:endnote w:type="continuationSeparator" w:id="0">
    <w:p w14:paraId="7095D2B2" w14:textId="77777777" w:rsidR="00EC32ED" w:rsidRDefault="00EC32E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A96C6" w14:textId="77777777" w:rsidR="00EC32ED" w:rsidRDefault="00EC32ED" w:rsidP="00CB37D9">
      <w:pPr>
        <w:spacing w:after="0" w:line="240" w:lineRule="auto"/>
      </w:pPr>
      <w:r>
        <w:separator/>
      </w:r>
    </w:p>
  </w:footnote>
  <w:footnote w:type="continuationSeparator" w:id="0">
    <w:p w14:paraId="1C3C2BEA" w14:textId="77777777" w:rsidR="00EC32ED" w:rsidRDefault="00EC32ED"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7A059F"/>
    <w:rsid w:val="00831A9F"/>
    <w:rsid w:val="008D1E04"/>
    <w:rsid w:val="009146FD"/>
    <w:rsid w:val="00921EA3"/>
    <w:rsid w:val="00945588"/>
    <w:rsid w:val="00976859"/>
    <w:rsid w:val="00A17025"/>
    <w:rsid w:val="00A56F25"/>
    <w:rsid w:val="00AD6FC0"/>
    <w:rsid w:val="00BC0F62"/>
    <w:rsid w:val="00C4564F"/>
    <w:rsid w:val="00C55AF5"/>
    <w:rsid w:val="00C576A9"/>
    <w:rsid w:val="00C91B90"/>
    <w:rsid w:val="00CB37D9"/>
    <w:rsid w:val="00CD4E6B"/>
    <w:rsid w:val="00D54234"/>
    <w:rsid w:val="00DD2CCC"/>
    <w:rsid w:val="00E9546D"/>
    <w:rsid w:val="00EC32E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436099630">
      <w:bodyDiv w:val="1"/>
      <w:marLeft w:val="0"/>
      <w:marRight w:val="0"/>
      <w:marTop w:val="0"/>
      <w:marBottom w:val="0"/>
      <w:divBdr>
        <w:top w:val="none" w:sz="0" w:space="0" w:color="auto"/>
        <w:left w:val="none" w:sz="0" w:space="0" w:color="auto"/>
        <w:bottom w:val="none" w:sz="0" w:space="0" w:color="auto"/>
        <w:right w:val="none" w:sz="0" w:space="0" w:color="auto"/>
      </w:divBdr>
    </w:div>
    <w:div w:id="1254390311">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2019-08-20T17:45:00Z</dcterms:created>
  <dcterms:modified xsi:type="dcterms:W3CDTF">2019-08-20T17:45:00Z</dcterms:modified>
</cp:coreProperties>
</file>