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83.320007pt;margin-top:35.122108pt;width:51.9pt;height:14.25pt;mso-position-horizontal-relative:page;mso-position-vertical-relative:page;z-index:-251933696" type="#_x0000_t202" filled="false" stroked="false">
            <v:textbox inset="0,0,0,0">
              <w:txbxContent>
                <w:p>
                  <w:pPr>
                    <w:pStyle w:val="BodyText"/>
                  </w:pPr>
                  <w:r>
                    <w:rPr/>
                    <w:t>Page 1 of 4</w:t>
                  </w:r>
                </w:p>
              </w:txbxContent>
            </v:textbox>
            <w10:wrap type="none"/>
          </v:shape>
        </w:pict>
      </w:r>
      <w:r>
        <w:rPr/>
        <w:pict>
          <v:shape style="position:absolute;margin-left:77pt;margin-top:60.35545pt;width:42.6pt;height:20.9pt;mso-position-horizontal-relative:page;mso-position-vertical-relative:page;z-index:-251932672" type="#_x0000_t202" filled="false" stroked="false">
            <v:textbox inset="0,0,0,0">
              <w:txbxContent>
                <w:p>
                  <w:pPr>
                    <w:spacing w:line="259" w:lineRule="auto" w:before="14"/>
                    <w:ind w:left="20" w:right="3" w:firstLine="0"/>
                    <w:jc w:val="left"/>
                    <w:rPr>
                      <w:sz w:val="16"/>
                    </w:rPr>
                  </w:pPr>
                  <w:r>
                    <w:rPr>
                      <w:sz w:val="16"/>
                    </w:rPr>
                    <w:t>ILND 306 (Rev. 06/18)</w:t>
                  </w:r>
                </w:p>
              </w:txbxContent>
            </v:textbox>
            <w10:wrap type="none"/>
          </v:shape>
        </w:pict>
      </w:r>
      <w:r>
        <w:rPr/>
        <w:pict>
          <v:shape style="position:absolute;margin-left:192.43280pt;margin-top:93.891174pt;width:226.9pt;height:32.4500pt;mso-position-horizontal-relative:page;mso-position-vertical-relative:page;z-index:-251931648" type="#_x0000_t202" filled="false" stroked="false">
            <v:textbox inset="0,0,0,0">
              <w:txbxContent>
                <w:p>
                  <w:pPr>
                    <w:spacing w:line="259" w:lineRule="auto" w:before="8"/>
                    <w:ind w:left="20" w:right="-3" w:firstLine="50"/>
                    <w:jc w:val="left"/>
                    <w:rPr>
                      <w:b/>
                      <w:sz w:val="26"/>
                    </w:rPr>
                  </w:pPr>
                  <w:bookmarkStart w:name="UNITED STATES DISTRICT COURT" w:id="1"/>
                  <w:bookmarkEnd w:id="1"/>
                  <w:r>
                    <w:rPr/>
                  </w:r>
                  <w:r>
                    <w:rPr>
                      <w:b/>
                      <w:sz w:val="26"/>
                    </w:rPr>
                    <w:t>UNITED STATES DISTRICT COURT</w:t>
                  </w:r>
                  <w:bookmarkStart w:name="NORTHERN DISTRICT OF ILLINOIS" w:id="2"/>
                  <w:bookmarkEnd w:id="2"/>
                  <w:r>
                    <w:rPr>
                      <w:b/>
                      <w:sz w:val="26"/>
                    </w:rPr>
                  </w:r>
                  <w:r>
                    <w:rPr>
                      <w:b/>
                      <w:sz w:val="26"/>
                    </w:rPr>
                    <w:t> NORTHERN DISTRICT OF ILLINOIS</w:t>
                  </w:r>
                </w:p>
              </w:txbxContent>
            </v:textbox>
            <w10:wrap type="none"/>
          </v:shape>
        </w:pict>
      </w:r>
      <w:r>
        <w:rPr/>
        <w:pict>
          <v:shape style="position:absolute;margin-left:200.351364pt;margin-top:164.808289pt;width:211.05pt;height:16.4pt;mso-position-horizontal-relative:page;mso-position-vertical-relative:page;z-index:-251930624" type="#_x0000_t202" filled="false" stroked="false">
            <v:textbox inset="0,0,0,0">
              <w:txbxContent>
                <w:p>
                  <w:pPr>
                    <w:spacing w:before="8"/>
                    <w:ind w:left="20" w:right="0" w:firstLine="0"/>
                    <w:jc w:val="left"/>
                    <w:rPr>
                      <w:b/>
                      <w:sz w:val="26"/>
                    </w:rPr>
                  </w:pPr>
                  <w:bookmarkStart w:name="CONFIDENTIALITY STATEMENT" w:id="3"/>
                  <w:bookmarkEnd w:id="3"/>
                  <w:r>
                    <w:rPr/>
                  </w:r>
                  <w:r>
                    <w:rPr>
                      <w:b/>
                      <w:sz w:val="26"/>
                    </w:rPr>
                    <w:t>CONFIDENTIALITY STATEMENT</w:t>
                  </w:r>
                </w:p>
              </w:txbxContent>
            </v:textbox>
            <w10:wrap type="none"/>
          </v:shape>
        </w:pict>
      </w:r>
      <w:r>
        <w:rPr/>
        <w:pict>
          <v:shape style="position:absolute;margin-left:76.279999pt;margin-top:202.042114pt;width:459.65pt;height:173.4pt;mso-position-horizontal-relative:page;mso-position-vertical-relative:page;z-index:-251929600" type="#_x0000_t202" filled="false" stroked="false">
            <v:textbox inset="0,0,0,0">
              <w:txbxContent>
                <w:p>
                  <w:pPr>
                    <w:pStyle w:val="BodyText"/>
                    <w:spacing w:line="216" w:lineRule="auto" w:before="32"/>
                    <w:ind w:left="29" w:right="17" w:hanging="10"/>
                    <w:jc w:val="both"/>
                  </w:pPr>
                  <w:r>
                    <w:rPr/>
                    <w:t>One of the most important obligations of judicial employees is to ensure that nonpublic information learned in the course of employment is kept confidential. In the performance of job duties, employees may have access to files, records, draft materials, and conversations that are, under the Code of Conduct for Judicial Employees or by practice of the court, confidential. Canon 3D of the Code sets forth the minimum</w:t>
                  </w:r>
                  <w:r>
                    <w:rPr>
                      <w:spacing w:val="-5"/>
                    </w:rPr>
                    <w:t> </w:t>
                  </w:r>
                  <w:r>
                    <w:rPr/>
                    <w:t>standard:</w:t>
                  </w:r>
                </w:p>
                <w:p>
                  <w:pPr>
                    <w:pStyle w:val="BodyText"/>
                    <w:spacing w:before="1"/>
                    <w:ind w:left="0"/>
                    <w:rPr>
                      <w:sz w:val="19"/>
                    </w:rPr>
                  </w:pPr>
                </w:p>
                <w:p>
                  <w:pPr>
                    <w:pStyle w:val="BodyText"/>
                    <w:spacing w:line="216" w:lineRule="auto" w:before="0"/>
                    <w:ind w:left="763" w:right="17" w:hanging="10"/>
                    <w:jc w:val="both"/>
                  </w:pPr>
                  <w:r>
                    <w:rPr/>
                    <w:t>A judicial employee should avoid making public comment on the merits of a pending or impending action and should require similar restraint by personnel subject to the judicial employee's direction and control. This proscription does not extend to public statements made in the course of official duties or to the explanation of court procedures. A judicial employee should never disclose any confidential information received in the course of official duties except as required in the performance of such duties, nor should a judicial employee employ such information for personal gain. A former judicial employee should observe the same restrictions on disclosure of confidential information that apply to a current judicial employee, except as modified by the appointing authority.</w:t>
                  </w:r>
                </w:p>
              </w:txbxContent>
            </v:textbox>
            <w10:wrap type="none"/>
          </v:shape>
        </w:pict>
      </w:r>
      <w:r>
        <w:rPr/>
        <w:pict>
          <v:shape style="position:absolute;margin-left:76.268959pt;margin-top:384.709961pt;width:459.6pt;height:81.1pt;mso-position-horizontal-relative:page;mso-position-vertical-relative:page;z-index:-251928576" type="#_x0000_t202" filled="false" stroked="false">
            <v:textbox inset="0,0,0,0">
              <w:txbxContent>
                <w:p>
                  <w:pPr>
                    <w:spacing w:before="11"/>
                    <w:ind w:left="20" w:right="0" w:firstLine="0"/>
                    <w:jc w:val="left"/>
                    <w:rPr>
                      <w:b/>
                      <w:sz w:val="22"/>
                    </w:rPr>
                  </w:pPr>
                  <w:bookmarkStart w:name="1.  Confidential Information" w:id="4"/>
                  <w:bookmarkEnd w:id="4"/>
                  <w:r>
                    <w:rPr/>
                  </w:r>
                  <w:r>
                    <w:rPr>
                      <w:b/>
                      <w:sz w:val="22"/>
                    </w:rPr>
                    <w:t>1. Confidential Information</w:t>
                  </w:r>
                </w:p>
                <w:p>
                  <w:pPr>
                    <w:pStyle w:val="BodyText"/>
                    <w:spacing w:line="216" w:lineRule="auto" w:before="192"/>
                    <w:ind w:right="17" w:firstLine="720"/>
                    <w:jc w:val="both"/>
                  </w:pPr>
                  <w:r>
                    <w:rPr/>
                    <w:t>Confidential information means information received in the course of judicial duties that is not public and is not authorized to be made public. This includes information received by the court pursuant to a protective order or under seal; expressly marked or designated by a judge to be kept confidential; or relating to the deliberative processes of the court or an individual judge. Examples of confidential information</w:t>
                  </w:r>
                  <w:r>
                    <w:rPr>
                      <w:spacing w:val="-6"/>
                    </w:rPr>
                    <w:t> </w:t>
                  </w:r>
                  <w:r>
                    <w:rPr/>
                    <w:t>are:</w:t>
                  </w:r>
                </w:p>
              </w:txbxContent>
            </v:textbox>
            <w10:wrap type="none"/>
          </v:shape>
        </w:pict>
      </w:r>
      <w:r>
        <w:rPr/>
        <w:pict>
          <v:shape style="position:absolute;margin-left:76.997597pt;margin-top:473.880035pt;width:14.9pt;height:58.9pt;mso-position-horizontal-relative:page;mso-position-vertical-relative:page;z-index:-251927552" type="#_x0000_t202" filled="false" stroked="false">
            <v:textbox inset="0,0,0,0">
              <w:txbxContent>
                <w:p>
                  <w:pPr>
                    <w:pStyle w:val="BodyText"/>
                  </w:pPr>
                  <w:r>
                    <w:rPr/>
                    <w:t>(a)</w:t>
                  </w:r>
                </w:p>
                <w:p>
                  <w:pPr>
                    <w:pStyle w:val="BodyText"/>
                    <w:spacing w:before="196"/>
                  </w:pPr>
                  <w:r>
                    <w:rPr/>
                    <w:t>(b)</w:t>
                  </w:r>
                </w:p>
                <w:p>
                  <w:pPr>
                    <w:pStyle w:val="BodyText"/>
                    <w:spacing w:before="191"/>
                  </w:pPr>
                  <w:r>
                    <w:rPr/>
                    <w:t>(c)</w:t>
                  </w:r>
                </w:p>
              </w:txbxContent>
            </v:textbox>
            <w10:wrap type="none"/>
          </v:shape>
        </w:pict>
      </w:r>
      <w:r>
        <w:rPr/>
        <w:pict>
          <v:shape style="position:absolute;margin-left:95.357117pt;margin-top:473.880035pt;width:440.6pt;height:238.9pt;mso-position-horizontal-relative:page;mso-position-vertical-relative:page;z-index:-251926528" type="#_x0000_t202" filled="false" stroked="false">
            <v:textbox inset="0,0,0,0">
              <w:txbxContent>
                <w:p>
                  <w:pPr>
                    <w:pStyle w:val="BodyText"/>
                  </w:pPr>
                  <w:r>
                    <w:rPr/>
                    <w:t>the substance of draft opinions or decisions;</w:t>
                  </w:r>
                </w:p>
                <w:p>
                  <w:pPr>
                    <w:pStyle w:val="BodyText"/>
                    <w:spacing w:before="196"/>
                  </w:pPr>
                  <w:r>
                    <w:rPr/>
                    <w:t>internal memoranda, in draft or final form, prepared in connection with matters before the court;</w:t>
                  </w:r>
                </w:p>
                <w:p>
                  <w:pPr>
                    <w:pStyle w:val="BodyText"/>
                    <w:spacing w:line="218" w:lineRule="auto" w:before="210"/>
                    <w:ind w:right="19"/>
                    <w:jc w:val="both"/>
                  </w:pPr>
                  <w:r>
                    <w:rPr/>
                    <w:t>the content or occurrence of conversations among judges or between a judge and judicial employees concerning matters before the</w:t>
                  </w:r>
                  <w:r>
                    <w:rPr>
                      <w:spacing w:val="-8"/>
                    </w:rPr>
                    <w:t> </w:t>
                  </w:r>
                  <w:r>
                    <w:rPr/>
                    <w:t>court;</w:t>
                  </w:r>
                </w:p>
                <w:p>
                  <w:pPr>
                    <w:pStyle w:val="BodyText"/>
                    <w:spacing w:line="216" w:lineRule="auto" w:before="215"/>
                    <w:ind w:right="20"/>
                    <w:jc w:val="both"/>
                  </w:pPr>
                  <w:r>
                    <w:rPr/>
                    <w:t>the identity of panel members or of the authoring judge before release of this information is authorized by the court;</w:t>
                  </w:r>
                </w:p>
                <w:p>
                  <w:pPr>
                    <w:pStyle w:val="BodyText"/>
                    <w:spacing w:before="202"/>
                  </w:pPr>
                  <w:r>
                    <w:rPr/>
                    <w:t>the authorship of per curiam opinions or orders;</w:t>
                  </w:r>
                </w:p>
                <w:p>
                  <w:pPr>
                    <w:pStyle w:val="BodyText"/>
                    <w:spacing w:line="218" w:lineRule="auto" w:before="209"/>
                    <w:ind w:right="18"/>
                    <w:jc w:val="both"/>
                  </w:pPr>
                  <w:r>
                    <w:rPr/>
                    <w:t>the timing of a decision, order, or other judicial action, including the status of or progress on a judicial action not yet finalized (except as authorized in accordance with Section 2.C.);</w:t>
                  </w:r>
                </w:p>
                <w:p>
                  <w:pPr>
                    <w:pStyle w:val="BodyText"/>
                    <w:spacing w:line="218" w:lineRule="auto" w:before="214"/>
                    <w:ind w:right="17"/>
                    <w:jc w:val="both"/>
                  </w:pPr>
                  <w:r>
                    <w:rPr/>
                    <w:t>views expressed by a judge either in casual conversation or in the course of discussions about a particular matter before the court;</w:t>
                  </w:r>
                </w:p>
                <w:p>
                  <w:pPr>
                    <w:pStyle w:val="BodyText"/>
                    <w:spacing w:before="9"/>
                    <w:ind w:left="0"/>
                    <w:rPr>
                      <w:sz w:val="18"/>
                    </w:rPr>
                  </w:pPr>
                </w:p>
                <w:p>
                  <w:pPr>
                    <w:pStyle w:val="BodyText"/>
                    <w:spacing w:line="216" w:lineRule="auto" w:before="0"/>
                    <w:ind w:right="18"/>
                    <w:jc w:val="both"/>
                  </w:pPr>
                  <w:r>
                    <w:rPr/>
                    <w:t>any subject matter the appointing authority has indicated should not be revealed, such as internal office practices, informal court procedures, the content or occurrence of statements or conversations, and actions by a judge or staff; and</w:t>
                  </w:r>
                </w:p>
              </w:txbxContent>
            </v:textbox>
            <w10:wrap type="none"/>
          </v:shape>
        </w:pict>
      </w:r>
      <w:r>
        <w:rPr/>
        <w:pict>
          <v:shape style="position:absolute;margin-left:76.997597pt;margin-top:552.241943pt;width:14.9pt;height:14.25pt;mso-position-horizontal-relative:page;mso-position-vertical-relative:page;z-index:-251925504" type="#_x0000_t202" filled="false" stroked="false">
            <v:textbox inset="0,0,0,0">
              <w:txbxContent>
                <w:p>
                  <w:pPr>
                    <w:pStyle w:val="BodyText"/>
                  </w:pPr>
                  <w:r>
                    <w:rPr/>
                    <w:t>(d)</w:t>
                  </w:r>
                </w:p>
              </w:txbxContent>
            </v:textbox>
            <w10:wrap type="none"/>
          </v:shape>
        </w:pict>
      </w:r>
      <w:r>
        <w:rPr/>
        <w:pict>
          <v:shape style="position:absolute;margin-left:76.997597pt;margin-top:586.090576pt;width:14.3pt;height:36.450pt;mso-position-horizontal-relative:page;mso-position-vertical-relative:page;z-index:-251924480" type="#_x0000_t202" filled="false" stroked="false">
            <v:textbox inset="0,0,0,0">
              <w:txbxContent>
                <w:p>
                  <w:pPr>
                    <w:pStyle w:val="BodyText"/>
                  </w:pPr>
                  <w:r>
                    <w:rPr/>
                    <w:t>(e)</w:t>
                  </w:r>
                </w:p>
                <w:p>
                  <w:pPr>
                    <w:pStyle w:val="BodyText"/>
                    <w:spacing w:before="191"/>
                  </w:pPr>
                  <w:r>
                    <w:rPr/>
                    <w:t>(f)</w:t>
                  </w:r>
                </w:p>
              </w:txbxContent>
            </v:textbox>
            <w10:wrap type="none"/>
          </v:shape>
        </w:pict>
      </w:r>
      <w:r>
        <w:rPr/>
        <w:pict>
          <v:shape style="position:absolute;margin-left:76.997597pt;margin-top:642.008179pt;width:14.65pt;height:14.25pt;mso-position-horizontal-relative:page;mso-position-vertical-relative:page;z-index:-251923456" type="#_x0000_t202" filled="false" stroked="false">
            <v:textbox inset="0,0,0,0">
              <w:txbxContent>
                <w:p>
                  <w:pPr>
                    <w:pStyle w:val="BodyText"/>
                  </w:pPr>
                  <w:r>
                    <w:rPr/>
                    <w:t>(g)</w:t>
                  </w:r>
                </w:p>
              </w:txbxContent>
            </v:textbox>
            <w10:wrap type="none"/>
          </v:shape>
        </w:pict>
      </w:r>
      <w:r>
        <w:rPr/>
        <w:pict>
          <v:shape style="position:absolute;margin-left:76.997597pt;margin-top:675.724365pt;width:14.9pt;height:14.25pt;mso-position-horizontal-relative:page;mso-position-vertical-relative:page;z-index:-251922432" type="#_x0000_t202" filled="false" stroked="false">
            <v:textbox inset="0,0,0,0">
              <w:txbxContent>
                <w:p>
                  <w:pPr>
                    <w:pStyle w:val="BodyText"/>
                  </w:pPr>
                  <w:r>
                    <w:rPr/>
                    <w:t>(h)</w:t>
                  </w:r>
                </w:p>
              </w:txbxContent>
            </v:textbox>
            <w10:wrap type="none"/>
          </v:shape>
        </w:pict>
      </w:r>
    </w:p>
    <w:p>
      <w:pPr>
        <w:spacing w:after="0"/>
        <w:rPr>
          <w:sz w:val="2"/>
          <w:szCs w:val="2"/>
        </w:rPr>
        <w:sectPr>
          <w:type w:val="continuous"/>
          <w:pgSz w:w="12240" w:h="15840"/>
          <w:pgMar w:top="700" w:bottom="280" w:left="1420" w:right="1320"/>
        </w:sectPr>
      </w:pPr>
    </w:p>
    <w:p>
      <w:pPr>
        <w:rPr>
          <w:sz w:val="2"/>
          <w:szCs w:val="2"/>
        </w:rPr>
      </w:pPr>
      <w:r>
        <w:rPr/>
        <w:pict>
          <v:shape style="position:absolute;margin-left:483.320007pt;margin-top:35.122108pt;width:51.9pt;height:14.25pt;mso-position-horizontal-relative:page;mso-position-vertical-relative:page;z-index:-251921408" type="#_x0000_t202" filled="false" stroked="false">
            <v:textbox inset="0,0,0,0">
              <w:txbxContent>
                <w:p>
                  <w:pPr>
                    <w:pStyle w:val="BodyText"/>
                  </w:pPr>
                  <w:r>
                    <w:rPr/>
                    <w:t>Page 2 of 4</w:t>
                  </w:r>
                </w:p>
              </w:txbxContent>
            </v:textbox>
            <w10:wrap type="none"/>
          </v:shape>
        </w:pict>
      </w:r>
      <w:r>
        <w:rPr/>
        <w:pict>
          <v:shape style="position:absolute;margin-left:76.286240pt;margin-top:59.354908pt;width:459.65pt;height:81.1pt;mso-position-horizontal-relative:page;mso-position-vertical-relative:page;z-index:-251920384" type="#_x0000_t202" filled="false" stroked="false">
            <v:textbox inset="0,0,0,0">
              <w:txbxContent>
                <w:p>
                  <w:pPr>
                    <w:pStyle w:val="BodyText"/>
                    <w:ind w:left="34"/>
                  </w:pPr>
                  <w:r>
                    <w:rPr/>
                    <w:t>(i) any matter on which you have been, are, or will be working.</w:t>
                  </w:r>
                </w:p>
                <w:p>
                  <w:pPr>
                    <w:pStyle w:val="BodyText"/>
                    <w:spacing w:line="216" w:lineRule="auto" w:before="192"/>
                    <w:ind w:left="29" w:right="17" w:hanging="10"/>
                    <w:jc w:val="both"/>
                  </w:pPr>
                  <w:r>
                    <w:rPr/>
                    <w:t>Information that is not considered confidential includes court rules, published court procedures, public court records including the case docket, and information disclosed in public court documents or proceedings. However, judicial employees should not disclose, or make, public or private statements about the merits or decision making process concerning past, pending, or future cases even if those statements entail the use of only non-confidential materials.</w:t>
                  </w:r>
                </w:p>
              </w:txbxContent>
            </v:textbox>
            <w10:wrap type="none"/>
          </v:shape>
        </w:pict>
      </w:r>
      <w:r>
        <w:rPr/>
        <w:pict>
          <v:shape style="position:absolute;margin-left:76.2752pt;margin-top:149.717316pt;width:82.5pt;height:14.25pt;mso-position-horizontal-relative:page;mso-position-vertical-relative:page;z-index:-251919360" type="#_x0000_t202" filled="false" stroked="false">
            <v:textbox inset="0,0,0,0">
              <w:txbxContent>
                <w:p>
                  <w:pPr>
                    <w:spacing w:before="11"/>
                    <w:ind w:left="20" w:right="0" w:firstLine="0"/>
                    <w:jc w:val="left"/>
                    <w:rPr>
                      <w:b/>
                      <w:sz w:val="22"/>
                    </w:rPr>
                  </w:pPr>
                  <w:bookmarkStart w:name="2.  Nondisclosure" w:id="5"/>
                  <w:bookmarkEnd w:id="5"/>
                  <w:r>
                    <w:rPr/>
                  </w:r>
                  <w:r>
                    <w:rPr>
                      <w:b/>
                      <w:sz w:val="22"/>
                    </w:rPr>
                    <w:t>2.</w:t>
                  </w:r>
                  <w:r>
                    <w:rPr>
                      <w:b/>
                      <w:spacing w:val="52"/>
                      <w:sz w:val="22"/>
                    </w:rPr>
                    <w:t> </w:t>
                  </w:r>
                  <w:r>
                    <w:rPr>
                      <w:b/>
                      <w:sz w:val="22"/>
                    </w:rPr>
                    <w:t>Nondisclosure</w:t>
                  </w:r>
                </w:p>
              </w:txbxContent>
            </v:textbox>
            <w10:wrap type="none"/>
          </v:shape>
        </w:pict>
      </w:r>
      <w:r>
        <w:rPr/>
        <w:pict>
          <v:shape style="position:absolute;margin-left:112.99424pt;margin-top:170.958267pt;width:12.6pt;height:14.25pt;mso-position-horizontal-relative:page;mso-position-vertical-relative:page;z-index:-251918336" type="#_x0000_t202" filled="false" stroked="false">
            <v:textbox inset="0,0,0,0">
              <w:txbxContent>
                <w:p>
                  <w:pPr>
                    <w:spacing w:before="11"/>
                    <w:ind w:left="20" w:right="0" w:firstLine="0"/>
                    <w:jc w:val="left"/>
                    <w:rPr>
                      <w:b/>
                      <w:sz w:val="22"/>
                    </w:rPr>
                  </w:pPr>
                  <w:r>
                    <w:rPr>
                      <w:b/>
                      <w:sz w:val="22"/>
                    </w:rPr>
                    <w:t>A.</w:t>
                  </w:r>
                </w:p>
              </w:txbxContent>
            </v:textbox>
            <w10:wrap type="none"/>
          </v:shape>
        </w:pict>
      </w:r>
      <w:r>
        <w:rPr/>
        <w:pict>
          <v:shape style="position:absolute;margin-left:148.984634pt;margin-top:170.958267pt;width:386.9pt;height:14.25pt;mso-position-horizontal-relative:page;mso-position-vertical-relative:page;z-index:-251917312" type="#_x0000_t202" filled="false" stroked="false">
            <v:textbox inset="0,0,0,0">
              <w:txbxContent>
                <w:p>
                  <w:pPr>
                    <w:tabs>
                      <w:tab w:pos="2662" w:val="left" w:leader="none"/>
                    </w:tabs>
                    <w:spacing w:before="11"/>
                    <w:ind w:left="20" w:right="0" w:firstLine="0"/>
                    <w:jc w:val="left"/>
                    <w:rPr>
                      <w:sz w:val="22"/>
                    </w:rPr>
                  </w:pPr>
                  <w:r>
                    <w:rPr>
                      <w:b/>
                      <w:sz w:val="22"/>
                    </w:rPr>
                    <w:t>Unauthorized </w:t>
                  </w:r>
                  <w:r>
                    <w:rPr>
                      <w:b/>
                      <w:spacing w:val="5"/>
                      <w:sz w:val="22"/>
                    </w:rPr>
                    <w:t> </w:t>
                  </w:r>
                  <w:r>
                    <w:rPr>
                      <w:b/>
                      <w:sz w:val="22"/>
                    </w:rPr>
                    <w:t>disclosure.</w:t>
                    <w:tab/>
                  </w:r>
                  <w:r>
                    <w:rPr>
                      <w:sz w:val="22"/>
                    </w:rPr>
                    <w:t>To promote public confidence in the integrity of</w:t>
                  </w:r>
                  <w:r>
                    <w:rPr>
                      <w:spacing w:val="32"/>
                      <w:sz w:val="22"/>
                    </w:rPr>
                    <w:t> </w:t>
                  </w:r>
                  <w:r>
                    <w:rPr>
                      <w:sz w:val="22"/>
                    </w:rPr>
                    <w:t>the</w:t>
                  </w:r>
                </w:p>
              </w:txbxContent>
            </v:textbox>
            <w10:wrap type="none"/>
          </v:shape>
        </w:pict>
      </w:r>
      <w:r>
        <w:rPr/>
        <w:pict>
          <v:shape style="position:absolute;margin-left:76.981758pt;margin-top:182.362595pt;width:458.9pt;height:14.25pt;mso-position-horizontal-relative:page;mso-position-vertical-relative:page;z-index:-251916288" type="#_x0000_t202" filled="false" stroked="false">
            <v:textbox inset="0,0,0,0">
              <w:txbxContent>
                <w:p>
                  <w:pPr>
                    <w:pStyle w:val="BodyText"/>
                  </w:pPr>
                  <w:r>
                    <w:rPr/>
                    <w:t>judicial system and to avoid impropriety, illegality, or favoritism, or any appearance thereof, it is</w:t>
                  </w:r>
                </w:p>
              </w:txbxContent>
            </v:textbox>
            <w10:wrap type="none"/>
          </v:shape>
        </w:pict>
      </w:r>
      <w:r>
        <w:rPr/>
        <w:pict>
          <v:shape style="position:absolute;margin-left:76.981758pt;margin-top:193.766907pt;width:459pt;height:37.15pt;mso-position-horizontal-relative:page;mso-position-vertical-relative:page;z-index:-251915264" type="#_x0000_t202" filled="false" stroked="false">
            <v:textbox inset="0,0,0,0">
              <w:txbxContent>
                <w:p>
                  <w:pPr>
                    <w:pStyle w:val="BodyText"/>
                    <w:spacing w:line="218" w:lineRule="auto" w:before="30"/>
                    <w:ind w:right="17"/>
                    <w:jc w:val="both"/>
                  </w:pPr>
                  <w:r>
                    <w:rPr/>
                    <w:t>critical that confidential information not be disclosed by a judicial employee. No past or present judicial employee may disclose or make available confidential information, except as authorized in accordance with Section</w:t>
                  </w:r>
                  <w:r>
                    <w:rPr>
                      <w:spacing w:val="-1"/>
                    </w:rPr>
                    <w:t> </w:t>
                  </w:r>
                  <w:r>
                    <w:rPr/>
                    <w:t>2.C.</w:t>
                  </w:r>
                </w:p>
              </w:txbxContent>
            </v:textbox>
            <w10:wrap type="none"/>
          </v:shape>
        </w:pict>
      </w:r>
      <w:r>
        <w:rPr/>
        <w:pict>
          <v:shape style="position:absolute;margin-left:112.9832pt;margin-top:238.88739pt;width:12.25pt;height:14.25pt;mso-position-horizontal-relative:page;mso-position-vertical-relative:page;z-index:-251914240" type="#_x0000_t202" filled="false" stroked="false">
            <v:textbox inset="0,0,0,0">
              <w:txbxContent>
                <w:p>
                  <w:pPr>
                    <w:spacing w:before="11"/>
                    <w:ind w:left="20" w:right="0" w:firstLine="0"/>
                    <w:jc w:val="left"/>
                    <w:rPr>
                      <w:b/>
                      <w:sz w:val="22"/>
                    </w:rPr>
                  </w:pPr>
                  <w:r>
                    <w:rPr>
                      <w:b/>
                      <w:sz w:val="22"/>
                    </w:rPr>
                    <w:t>B.</w:t>
                  </w:r>
                </w:p>
              </w:txbxContent>
            </v:textbox>
            <w10:wrap type="none"/>
          </v:shape>
        </w:pict>
      </w:r>
      <w:r>
        <w:rPr/>
        <w:pict>
          <v:shape style="position:absolute;margin-left:148.984634pt;margin-top:238.88739pt;width:114.55pt;height:14.25pt;mso-position-horizontal-relative:page;mso-position-vertical-relative:page;z-index:-251913216" type="#_x0000_t202" filled="false" stroked="false">
            <v:textbox inset="0,0,0,0">
              <w:txbxContent>
                <w:p>
                  <w:pPr>
                    <w:spacing w:before="11"/>
                    <w:ind w:left="20" w:right="0" w:firstLine="0"/>
                    <w:jc w:val="left"/>
                    <w:rPr>
                      <w:b/>
                      <w:sz w:val="22"/>
                    </w:rPr>
                  </w:pPr>
                  <w:r>
                    <w:rPr>
                      <w:b/>
                      <w:sz w:val="22"/>
                    </w:rPr>
                    <w:t>Inadvertent disclosure.</w:t>
                  </w:r>
                </w:p>
              </w:txbxContent>
            </v:textbox>
            <w10:wrap type="none"/>
          </v:shape>
        </w:pict>
      </w:r>
      <w:r>
        <w:rPr/>
        <w:pict>
          <v:shape style="position:absolute;margin-left:274.873749pt;margin-top:238.88739pt;width:260.95pt;height:14.25pt;mso-position-horizontal-relative:page;mso-position-vertical-relative:page;z-index:-251912192" type="#_x0000_t202" filled="false" stroked="false">
            <v:textbox inset="0,0,0,0">
              <w:txbxContent>
                <w:p>
                  <w:pPr>
                    <w:pStyle w:val="BodyText"/>
                  </w:pPr>
                  <w:r>
                    <w:rPr/>
                    <w:t>Sometimes breaches of confidentiality do not involve</w:t>
                  </w:r>
                </w:p>
              </w:txbxContent>
            </v:textbox>
            <w10:wrap type="none"/>
          </v:shape>
        </w:pict>
      </w:r>
      <w:r>
        <w:rPr/>
        <w:pict>
          <v:shape style="position:absolute;margin-left:76.992798pt;margin-top:250.291702pt;width:458.8pt;height:14.25pt;mso-position-horizontal-relative:page;mso-position-vertical-relative:page;z-index:-251911168" type="#_x0000_t202" filled="false" stroked="false">
            <v:textbox inset="0,0,0,0">
              <w:txbxContent>
                <w:p>
                  <w:pPr>
                    <w:pStyle w:val="BodyText"/>
                  </w:pPr>
                  <w:r>
                    <w:rPr/>
                    <w:t>intentional disclosure but are the result of overheard remarks, casual comments, or inadequate shielding</w:t>
                  </w:r>
                </w:p>
              </w:txbxContent>
            </v:textbox>
            <w10:wrap type="none"/>
          </v:shape>
        </w:pict>
      </w:r>
      <w:r>
        <w:rPr/>
        <w:pict>
          <v:shape style="position:absolute;margin-left:76.992798pt;margin-top:261.696014pt;width:458.95pt;height:25.65pt;mso-position-horizontal-relative:page;mso-position-vertical-relative:page;z-index:-251910144" type="#_x0000_t202" filled="false" stroked="false">
            <v:textbox inset="0,0,0,0">
              <w:txbxContent>
                <w:p>
                  <w:pPr>
                    <w:pStyle w:val="BodyText"/>
                    <w:tabs>
                      <w:tab w:pos="2290" w:val="left" w:leader="none"/>
                    </w:tabs>
                    <w:spacing w:line="216" w:lineRule="auto" w:before="32"/>
                    <w:ind w:right="17"/>
                  </w:pPr>
                  <w:r>
                    <w:rPr/>
                    <w:t>of </w:t>
                  </w:r>
                  <w:r>
                    <w:rPr>
                      <w:spacing w:val="3"/>
                    </w:rPr>
                    <w:t> </w:t>
                  </w:r>
                  <w:r>
                    <w:rPr/>
                    <w:t>sensitive </w:t>
                  </w:r>
                  <w:r>
                    <w:rPr>
                      <w:spacing w:val="3"/>
                    </w:rPr>
                    <w:t> </w:t>
                  </w:r>
                  <w:r>
                    <w:rPr/>
                    <w:t>materials.</w:t>
                    <w:tab/>
                    <w:t>Judicial employees should take care to prevent inadvertent disclosure of confidential information by</w:t>
                  </w:r>
                  <w:r>
                    <w:rPr>
                      <w:spacing w:val="-9"/>
                    </w:rPr>
                    <w:t> </w:t>
                  </w:r>
                  <w:r>
                    <w:rPr/>
                    <w:t>avoiding:</w:t>
                  </w:r>
                </w:p>
              </w:txbxContent>
            </v:textbox>
            <w10:wrap type="none"/>
          </v:shape>
        </w:pict>
      </w:r>
      <w:r>
        <w:rPr/>
        <w:pict>
          <v:shape style="position:absolute;margin-left:76.992798pt;margin-top:295.423218pt;width:14.9pt;height:14.25pt;mso-position-horizontal-relative:page;mso-position-vertical-relative:page;z-index:-251909120" type="#_x0000_t202" filled="false" stroked="false">
            <v:textbox inset="0,0,0,0">
              <w:txbxContent>
                <w:p>
                  <w:pPr>
                    <w:pStyle w:val="BodyText"/>
                  </w:pPr>
                  <w:r>
                    <w:rPr/>
                    <w:t>(1)</w:t>
                  </w:r>
                </w:p>
              </w:txbxContent>
            </v:textbox>
            <w10:wrap type="none"/>
          </v:shape>
        </w:pict>
      </w:r>
      <w:r>
        <w:rPr/>
        <w:pict>
          <v:shape style="position:absolute;margin-left:95.330238pt;margin-top:295.423218pt;width:440.55pt;height:262.05pt;mso-position-horizontal-relative:page;mso-position-vertical-relative:page;z-index:-251908096" type="#_x0000_t202" filled="false" stroked="false">
            <v:textbox inset="0,0,0,0">
              <w:txbxContent>
                <w:p>
                  <w:pPr>
                    <w:pStyle w:val="BodyText"/>
                    <w:spacing w:line="216" w:lineRule="auto" w:before="32"/>
                    <w:ind w:right="17"/>
                    <w:jc w:val="both"/>
                  </w:pPr>
                  <w:r>
                    <w:rPr/>
                    <w:t>case-related conversations and other discussions of confidential information in public places within the court, such as the library, hallways, elevators, and cafeteria, either in person or by telephone or cellular phone;</w:t>
                  </w:r>
                </w:p>
                <w:p>
                  <w:pPr>
                    <w:pStyle w:val="BodyText"/>
                    <w:spacing w:line="218" w:lineRule="auto" w:before="214"/>
                    <w:ind w:right="17"/>
                    <w:jc w:val="both"/>
                  </w:pPr>
                  <w:r>
                    <w:rPr/>
                    <w:t>case-related conversations and other discussions of confidential information at bar association meetings, law schools, other gatherings of non-court persons, or in public places, either in person or by telephone or cellular</w:t>
                  </w:r>
                  <w:r>
                    <w:rPr>
                      <w:spacing w:val="-6"/>
                    </w:rPr>
                    <w:t> </w:t>
                  </w:r>
                  <w:r>
                    <w:rPr/>
                    <w:t>phone;</w:t>
                  </w:r>
                </w:p>
                <w:p>
                  <w:pPr>
                    <w:pStyle w:val="BodyText"/>
                    <w:spacing w:before="196"/>
                    <w:jc w:val="both"/>
                  </w:pPr>
                  <w:r>
                    <w:rPr/>
                    <w:t>exposure of confidential documents to the view of non-court persons;</w:t>
                  </w:r>
                </w:p>
                <w:p>
                  <w:pPr>
                    <w:pStyle w:val="BodyText"/>
                    <w:spacing w:line="218" w:lineRule="auto" w:before="210"/>
                    <w:ind w:right="17"/>
                    <w:jc w:val="both"/>
                  </w:pPr>
                  <w:r>
                    <w:rPr/>
                    <w:t>visible display of confidential documents in public places such as a library, on public transportation, or in a photocopier or scanner to which non-court persons have access, and the internet;</w:t>
                  </w:r>
                </w:p>
                <w:p>
                  <w:pPr>
                    <w:pStyle w:val="BodyText"/>
                    <w:spacing w:line="218" w:lineRule="auto" w:before="212"/>
                    <w:ind w:right="17"/>
                    <w:jc w:val="both"/>
                  </w:pPr>
                  <w:r>
                    <w:rPr/>
                    <w:t>substantive discussions with counsel, litigants, or reporters about the merits of a matter before the court;</w:t>
                  </w:r>
                </w:p>
                <w:p>
                  <w:pPr>
                    <w:pStyle w:val="BodyText"/>
                    <w:spacing w:line="218" w:lineRule="auto" w:before="213"/>
                    <w:ind w:right="17"/>
                    <w:jc w:val="both"/>
                  </w:pPr>
                  <w:r>
                    <w:rPr/>
                    <w:t>use of writing samples from judicial employment without adequate redaction and approval of the appointing authority; and</w:t>
                  </w:r>
                </w:p>
                <w:p>
                  <w:pPr>
                    <w:pStyle w:val="BodyText"/>
                    <w:spacing w:before="9"/>
                    <w:ind w:left="0"/>
                    <w:rPr>
                      <w:sz w:val="18"/>
                    </w:rPr>
                  </w:pPr>
                </w:p>
                <w:p>
                  <w:pPr>
                    <w:pStyle w:val="BodyText"/>
                    <w:spacing w:line="216" w:lineRule="auto" w:before="0"/>
                    <w:ind w:right="17"/>
                    <w:jc w:val="both"/>
                  </w:pPr>
                  <w:r>
                    <w:rPr/>
                    <w:t>internet and other electronic exchanges (anonymously, pseudonymously, or otherwise) about the court or its cases, including email, instant messaging, social networking postings (such as Twitter and Facebook), blog posts, and other internet comments or postings.</w:t>
                  </w:r>
                </w:p>
              </w:txbxContent>
            </v:textbox>
            <w10:wrap type="none"/>
          </v:shape>
        </w:pict>
      </w:r>
      <w:r>
        <w:rPr/>
        <w:pict>
          <v:shape style="position:absolute;margin-left:76.992798pt;margin-top:340.422272pt;width:14.9pt;height:14.25pt;mso-position-horizontal-relative:page;mso-position-vertical-relative:page;z-index:-251907072" type="#_x0000_t202" filled="false" stroked="false">
            <v:textbox inset="0,0,0,0">
              <w:txbxContent>
                <w:p>
                  <w:pPr>
                    <w:pStyle w:val="BodyText"/>
                  </w:pPr>
                  <w:r>
                    <w:rPr/>
                    <w:t>(2)</w:t>
                  </w:r>
                </w:p>
              </w:txbxContent>
            </v:textbox>
            <w10:wrap type="none"/>
          </v:shape>
        </w:pict>
      </w:r>
      <w:r>
        <w:rPr/>
        <w:pict>
          <v:shape style="position:absolute;margin-left:76.981758pt;margin-top:385.664185pt;width:14.9pt;height:36.450pt;mso-position-horizontal-relative:page;mso-position-vertical-relative:page;z-index:-251906048" type="#_x0000_t202" filled="false" stroked="false">
            <v:textbox inset="0,0,0,0">
              <w:txbxContent>
                <w:p>
                  <w:pPr>
                    <w:pStyle w:val="BodyText"/>
                  </w:pPr>
                  <w:r>
                    <w:rPr/>
                    <w:t>(3)</w:t>
                  </w:r>
                </w:p>
                <w:p>
                  <w:pPr>
                    <w:pStyle w:val="BodyText"/>
                    <w:spacing w:before="191"/>
                  </w:pPr>
                  <w:r>
                    <w:rPr/>
                    <w:t>(4)</w:t>
                  </w:r>
                </w:p>
              </w:txbxContent>
            </v:textbox>
            <w10:wrap type="none"/>
          </v:shape>
        </w:pict>
      </w:r>
      <w:r>
        <w:rPr/>
        <w:pict>
          <v:shape style="position:absolute;margin-left:76.981758pt;margin-top:452.986115pt;width:14.9pt;height:14.25pt;mso-position-horizontal-relative:page;mso-position-vertical-relative:page;z-index:-251905024" type="#_x0000_t202" filled="false" stroked="false">
            <v:textbox inset="0,0,0,0">
              <w:txbxContent>
                <w:p>
                  <w:pPr>
                    <w:pStyle w:val="BodyText"/>
                  </w:pPr>
                  <w:r>
                    <w:rPr/>
                    <w:t>(5)</w:t>
                  </w:r>
                </w:p>
              </w:txbxContent>
            </v:textbox>
            <w10:wrap type="none"/>
          </v:shape>
        </w:pict>
      </w:r>
      <w:r>
        <w:rPr/>
        <w:pict>
          <v:shape style="position:absolute;margin-left:76.981758pt;margin-top:486.702271pt;width:14.9pt;height:14.25pt;mso-position-horizontal-relative:page;mso-position-vertical-relative:page;z-index:-251904000" type="#_x0000_t202" filled="false" stroked="false">
            <v:textbox inset="0,0,0,0">
              <w:txbxContent>
                <w:p>
                  <w:pPr>
                    <w:pStyle w:val="BodyText"/>
                  </w:pPr>
                  <w:r>
                    <w:rPr/>
                    <w:t>(6)</w:t>
                  </w:r>
                </w:p>
              </w:txbxContent>
            </v:textbox>
            <w10:wrap type="none"/>
          </v:shape>
        </w:pict>
      </w:r>
      <w:r>
        <w:rPr/>
        <w:pict>
          <v:shape style="position:absolute;margin-left:76.981758pt;margin-top:520.418457pt;width:14.9pt;height:14.25pt;mso-position-horizontal-relative:page;mso-position-vertical-relative:page;z-index:-251902976" type="#_x0000_t202" filled="false" stroked="false">
            <v:textbox inset="0,0,0,0">
              <w:txbxContent>
                <w:p>
                  <w:pPr>
                    <w:pStyle w:val="BodyText"/>
                  </w:pPr>
                  <w:r>
                    <w:rPr/>
                    <w:t>(7)</w:t>
                  </w:r>
                </w:p>
              </w:txbxContent>
            </v:textbox>
            <w10:wrap type="none"/>
          </v:shape>
        </w:pict>
      </w:r>
      <w:r>
        <w:rPr/>
        <w:pict>
          <v:shape style="position:absolute;margin-left:76.242081pt;margin-top:587.508484pt;width:459.65pt;height:25.75pt;mso-position-horizontal-relative:page;mso-position-vertical-relative:page;z-index:-251901952" type="#_x0000_t202" filled="false" stroked="false">
            <v:textbox inset="0,0,0,0">
              <w:txbxContent>
                <w:p>
                  <w:pPr>
                    <w:tabs>
                      <w:tab w:pos="1164" w:val="left" w:leader="none"/>
                    </w:tabs>
                    <w:spacing w:line="218" w:lineRule="auto" w:before="30"/>
                    <w:ind w:left="20" w:right="17" w:firstLine="720"/>
                    <w:jc w:val="left"/>
                    <w:rPr>
                      <w:sz w:val="22"/>
                    </w:rPr>
                  </w:pPr>
                  <w:r>
                    <w:rPr>
                      <w:b/>
                      <w:sz w:val="22"/>
                    </w:rPr>
                    <w:t>C.</w:t>
                    <w:tab/>
                    <w:t>Authorized disclosure. </w:t>
                  </w:r>
                  <w:r>
                    <w:rPr>
                      <w:sz w:val="22"/>
                    </w:rPr>
                    <w:t>Confidential information is authorized to be disclosed in the following</w:t>
                  </w:r>
                  <w:r>
                    <w:rPr>
                      <w:spacing w:val="-4"/>
                      <w:sz w:val="22"/>
                    </w:rPr>
                    <w:t> </w:t>
                  </w:r>
                  <w:r>
                    <w:rPr>
                      <w:sz w:val="22"/>
                    </w:rPr>
                    <w:t>circumstances:</w:t>
                  </w:r>
                </w:p>
              </w:txbxContent>
            </v:textbox>
            <w10:wrap type="none"/>
          </v:shape>
        </w:pict>
      </w:r>
      <w:r>
        <w:rPr/>
        <w:pict>
          <v:shape style="position:absolute;margin-left:76.959679pt;margin-top:621.34613pt;width:14.9pt;height:58.9pt;mso-position-horizontal-relative:page;mso-position-vertical-relative:page;z-index:-251900928" type="#_x0000_t202" filled="false" stroked="false">
            <v:textbox inset="0,0,0,0">
              <w:txbxContent>
                <w:p>
                  <w:pPr>
                    <w:pStyle w:val="BodyText"/>
                  </w:pPr>
                  <w:r>
                    <w:rPr/>
                    <w:t>(1)</w:t>
                  </w:r>
                </w:p>
                <w:p>
                  <w:pPr>
                    <w:pStyle w:val="BodyText"/>
                    <w:spacing w:before="194"/>
                  </w:pPr>
                  <w:r>
                    <w:rPr/>
                    <w:t>(2)</w:t>
                  </w:r>
                </w:p>
                <w:p>
                  <w:pPr>
                    <w:pStyle w:val="BodyText"/>
                    <w:spacing w:before="193"/>
                  </w:pPr>
                  <w:r>
                    <w:rPr/>
                    <w:t>(3)</w:t>
                  </w:r>
                </w:p>
              </w:txbxContent>
            </v:textbox>
            <w10:wrap type="none"/>
          </v:shape>
        </w:pict>
      </w:r>
      <w:r>
        <w:rPr/>
        <w:pict>
          <v:shape style="position:absolute;margin-left:95.319199pt;margin-top:621.34613pt;width:440.4pt;height:70.3pt;mso-position-horizontal-relative:page;mso-position-vertical-relative:page;z-index:-251899904" type="#_x0000_t202" filled="false" stroked="false">
            <v:textbox inset="0,0,0,0">
              <w:txbxContent>
                <w:p>
                  <w:pPr>
                    <w:pStyle w:val="BodyText"/>
                    <w:spacing w:line="422" w:lineRule="auto"/>
                    <w:ind w:right="447"/>
                  </w:pPr>
                  <w:r>
                    <w:rPr/>
                    <w:t>pursuant to a statute, rule, or order of the court, or authorization from the appointing authority; pursuant to a valid subpoena issued by a court or other competent body; and</w:t>
                  </w:r>
                </w:p>
                <w:p>
                  <w:pPr>
                    <w:pStyle w:val="BodyText"/>
                    <w:spacing w:line="216" w:lineRule="auto" w:before="23"/>
                  </w:pPr>
                  <w:r>
                    <w:rPr/>
                    <w:t>to report an alleged criminal violation to the appointing authority or other appropriate government or law enforcement official.</w:t>
                  </w:r>
                </w:p>
              </w:txbxContent>
            </v:textbox>
            <w10:wrap type="none"/>
          </v:shape>
        </w:pict>
      </w:r>
    </w:p>
    <w:p>
      <w:pPr>
        <w:spacing w:after="0"/>
        <w:rPr>
          <w:sz w:val="2"/>
          <w:szCs w:val="2"/>
        </w:rPr>
        <w:sectPr>
          <w:pgSz w:w="12240" w:h="15840"/>
          <w:pgMar w:top="700" w:bottom="280" w:left="1420" w:right="1320"/>
        </w:sectPr>
      </w:pPr>
    </w:p>
    <w:p>
      <w:pPr>
        <w:rPr>
          <w:sz w:val="2"/>
          <w:szCs w:val="2"/>
        </w:rPr>
      </w:pPr>
      <w:r>
        <w:rPr/>
        <w:pict>
          <v:shape style="position:absolute;margin-left:483.320007pt;margin-top:35.122108pt;width:51.9pt;height:14.25pt;mso-position-horizontal-relative:page;mso-position-vertical-relative:page;z-index:-251898880" type="#_x0000_t202" filled="false" stroked="false">
            <v:textbox inset="0,0,0,0">
              <w:txbxContent>
                <w:p>
                  <w:pPr>
                    <w:pStyle w:val="BodyText"/>
                  </w:pPr>
                  <w:r>
                    <w:rPr/>
                    <w:t>Page 3 of 4</w:t>
                  </w:r>
                </w:p>
              </w:txbxContent>
            </v:textbox>
            <w10:wrap type="none"/>
          </v:shape>
        </w:pict>
      </w:r>
      <w:r>
        <w:rPr/>
        <w:pict>
          <v:shape style="position:absolute;margin-left:77.003838pt;margin-top:59.476349pt;width:14.9pt;height:14.25pt;mso-position-horizontal-relative:page;mso-position-vertical-relative:page;z-index:-251897856" type="#_x0000_t202" filled="false" stroked="false">
            <v:textbox inset="0,0,0,0">
              <w:txbxContent>
                <w:p>
                  <w:pPr>
                    <w:pStyle w:val="BodyText"/>
                  </w:pPr>
                  <w:r>
                    <w:rPr/>
                    <w:t>(4)</w:t>
                  </w:r>
                </w:p>
              </w:txbxContent>
            </v:textbox>
            <w10:wrap type="none"/>
          </v:shape>
        </w:pict>
      </w:r>
      <w:r>
        <w:rPr/>
        <w:pict>
          <v:shape style="position:absolute;margin-left:95.363358pt;margin-top:59.476349pt;width:384.95pt;height:14.25pt;mso-position-horizontal-relative:page;mso-position-vertical-relative:page;z-index:-251896832" type="#_x0000_t202" filled="false" stroked="false">
            <v:textbox inset="0,0,0,0">
              <w:txbxContent>
                <w:p>
                  <w:pPr>
                    <w:pStyle w:val="BodyText"/>
                  </w:pPr>
                  <w:r>
                    <w:rPr/>
                    <w:t>to report any allegations of fraud waste or abuse as defined by the Judicial Conference.</w:t>
                  </w:r>
                </w:p>
              </w:txbxContent>
            </v:textbox>
            <w10:wrap type="none"/>
          </v:shape>
        </w:pict>
      </w:r>
      <w:r>
        <w:rPr/>
        <w:pict>
          <v:shape style="position:absolute;margin-left:77.003838pt;margin-top:92.474907pt;width:14.9pt;height:14.25pt;mso-position-horizontal-relative:page;mso-position-vertical-relative:page;z-index:-251895808" type="#_x0000_t202" filled="false" stroked="false">
            <v:textbox inset="0,0,0,0">
              <w:txbxContent>
                <w:p>
                  <w:pPr>
                    <w:pStyle w:val="BodyText"/>
                  </w:pPr>
                  <w:r>
                    <w:rPr/>
                    <w:t>(5)</w:t>
                  </w:r>
                </w:p>
              </w:txbxContent>
            </v:textbox>
            <w10:wrap type="none"/>
          </v:shape>
        </w:pict>
      </w:r>
      <w:r>
        <w:rPr/>
        <w:pict>
          <v:shape style="position:absolute;margin-left:95.363358pt;margin-top:92.474907pt;width:355.1pt;height:14.25pt;mso-position-horizontal-relative:page;mso-position-vertical-relative:page;z-index:-251894784" type="#_x0000_t202" filled="false" stroked="false">
            <v:textbox inset="0,0,0,0">
              <w:txbxContent>
                <w:p>
                  <w:pPr>
                    <w:pStyle w:val="BodyText"/>
                  </w:pPr>
                  <w:r>
                    <w:rPr/>
                    <w:t>to report any workplace misconduct pursuant to the Court's EEO and EDR Plan.</w:t>
                  </w:r>
                </w:p>
              </w:txbxContent>
            </v:textbox>
            <w10:wrap type="none"/>
          </v:shape>
        </w:pict>
      </w:r>
      <w:r>
        <w:rPr/>
        <w:pict>
          <v:shape style="position:absolute;margin-left:77.003838pt;margin-top:125.473473pt;width:14.9pt;height:14.25pt;mso-position-horizontal-relative:page;mso-position-vertical-relative:page;z-index:-251893760" type="#_x0000_t202" filled="false" stroked="false">
            <v:textbox inset="0,0,0,0">
              <w:txbxContent>
                <w:p>
                  <w:pPr>
                    <w:pStyle w:val="BodyText"/>
                  </w:pPr>
                  <w:r>
                    <w:rPr/>
                    <w:t>(6)</w:t>
                  </w:r>
                </w:p>
              </w:txbxContent>
            </v:textbox>
            <w10:wrap type="none"/>
          </v:shape>
        </w:pict>
      </w:r>
      <w:r>
        <w:rPr/>
        <w:pict>
          <v:shape style="position:absolute;margin-left:95.363358pt;margin-top:125.473473pt;width:434.9pt;height:14.25pt;mso-position-horizontal-relative:page;mso-position-vertical-relative:page;z-index:-251892736" type="#_x0000_t202" filled="false" stroked="false">
            <v:textbox inset="0,0,0,0">
              <w:txbxContent>
                <w:p>
                  <w:pPr>
                    <w:pStyle w:val="BodyText"/>
                  </w:pPr>
                  <w:r>
                    <w:rPr/>
                    <w:t>to report any Judicial Misconduct Complaints pursuant to the Judicial Conduct and Disability Act.</w:t>
                  </w:r>
                </w:p>
              </w:txbxContent>
            </v:textbox>
            <w10:wrap type="none"/>
          </v:shape>
        </w:pict>
      </w:r>
      <w:r>
        <w:rPr/>
        <w:pict>
          <v:shape style="position:absolute;margin-left:76.2752pt;margin-top:158.472031pt;width:459.75pt;height:229.3pt;mso-position-horizontal-relative:page;mso-position-vertical-relative:page;z-index:-251891712" type="#_x0000_t202" filled="false" stroked="false">
            <v:textbox inset="0,0,0,0">
              <w:txbxContent>
                <w:p>
                  <w:pPr>
                    <w:pStyle w:val="BodyText"/>
                    <w:spacing w:line="216" w:lineRule="auto" w:before="32"/>
                    <w:ind w:right="19" w:firstLine="720"/>
                    <w:jc w:val="both"/>
                  </w:pPr>
                  <w:r>
                    <w:rPr>
                      <w:b/>
                    </w:rPr>
                    <w:t>D. Continuing obligation. </w:t>
                  </w:r>
                  <w:r>
                    <w:rPr/>
                    <w:t>Confidentiality obligations do not end when judicial employment ceases or when a matter is completed or a case is closed. Former judicial employees should observe the same restrictions on disclosure of confidential information that apply to current employees, except as modified in accordance with Section 2.C. Confidentiality restrictions continue to apply with respect to open as well as closed and completed matters.</w:t>
                  </w:r>
                </w:p>
                <w:p>
                  <w:pPr>
                    <w:pStyle w:val="BodyText"/>
                    <w:spacing w:line="218" w:lineRule="auto" w:before="215"/>
                    <w:ind w:left="29" w:right="23" w:hanging="10"/>
                    <w:jc w:val="both"/>
                  </w:pPr>
                  <w:r>
                    <w:rPr/>
                    <w:t>Judicial employees should consult their appointing authority if there is any doubt whether a certain disclosure is authorized before any disclosure is made.</w:t>
                  </w:r>
                </w:p>
                <w:p>
                  <w:pPr>
                    <w:pStyle w:val="BodyText"/>
                    <w:spacing w:before="9"/>
                    <w:ind w:left="0"/>
                    <w:rPr>
                      <w:sz w:val="18"/>
                    </w:rPr>
                  </w:pPr>
                </w:p>
                <w:p>
                  <w:pPr>
                    <w:pStyle w:val="BodyText"/>
                    <w:spacing w:line="216" w:lineRule="auto" w:before="0"/>
                    <w:ind w:left="43" w:right="19"/>
                    <w:jc w:val="both"/>
                  </w:pPr>
                  <w:r>
                    <w:rPr/>
                    <w:t>Individual judges and/or other appointing authorities may institute stricter standards than those outlined herein, but may not modify provisions listed under section 2.C. They may also limit who is authorized to speak for the court or agency and the topics that specific judicial employees are allowed to address. The policies described in this document do not supersede or in any way override any stricter disclosure standards that a court, a judge, or other appointing authority may institute.</w:t>
                  </w:r>
                </w:p>
                <w:p>
                  <w:pPr>
                    <w:pStyle w:val="BodyText"/>
                    <w:spacing w:before="2"/>
                    <w:ind w:left="0"/>
                    <w:rPr>
                      <w:sz w:val="19"/>
                    </w:rPr>
                  </w:pPr>
                </w:p>
                <w:p>
                  <w:pPr>
                    <w:pStyle w:val="BodyText"/>
                    <w:spacing w:line="216" w:lineRule="auto" w:before="0"/>
                    <w:ind w:left="43" w:right="17"/>
                    <w:jc w:val="both"/>
                  </w:pPr>
                  <w:r>
                    <w:rPr/>
                    <w:t>This Confidentiality Statement does not address, and in no way limits, the remedy or penalty that a court, judge, or other appointing authority may impose for a breach of an employee’s duties</w:t>
                  </w:r>
                  <w:r>
                    <w:rPr>
                      <w:spacing w:val="16"/>
                    </w:rPr>
                    <w:t> </w:t>
                  </w:r>
                  <w:r>
                    <w:rPr/>
                    <w:t>of confidentiality, but all judicial employees should be aware that the Judiciary considers all such breaches to be serious, given the need to maintain the public’s confidence in the impartiality of the judicial system.</w:t>
                  </w:r>
                </w:p>
              </w:txbxContent>
            </v:textbox>
            <w10:wrap type="none"/>
          </v:shape>
        </w:pict>
      </w:r>
    </w:p>
    <w:p>
      <w:pPr>
        <w:spacing w:after="0"/>
        <w:rPr>
          <w:sz w:val="2"/>
          <w:szCs w:val="2"/>
        </w:rPr>
        <w:sectPr>
          <w:pgSz w:w="12240" w:h="15840"/>
          <w:pgMar w:top="700" w:bottom="280" w:left="1420" w:right="1320"/>
        </w:sectPr>
      </w:pPr>
    </w:p>
    <w:p>
      <w:pPr>
        <w:rPr>
          <w:sz w:val="2"/>
          <w:szCs w:val="2"/>
        </w:rPr>
      </w:pPr>
      <w:r>
        <w:rPr/>
        <w:pict>
          <v:line style="position:absolute;mso-position-horizontal-relative:page;mso-position-vertical-relative:page;z-index:-251890688" from="72pt,182.315994pt" to="344.922pt,182.315994pt" stroked="true" strokeweight=".6pt" strokecolor="#000000">
            <v:stroke dashstyle="solid"/>
            <w10:wrap type="none"/>
          </v:line>
        </w:pict>
      </w:r>
      <w:r>
        <w:rPr/>
        <w:pict>
          <v:line style="position:absolute;mso-position-horizontal-relative:page;mso-position-vertical-relative:page;z-index:-251889664" from="383.980011pt,182.315994pt" to="539.850011pt,182.315994pt" stroked="true" strokeweight=".6pt" strokecolor="#000000">
            <v:stroke dashstyle="solid"/>
            <w10:wrap type="none"/>
          </v:line>
        </w:pict>
      </w:r>
      <w:r>
        <w:rPr/>
        <w:pict>
          <v:shape style="position:absolute;margin-left:483.320007pt;margin-top:35.122108pt;width:51.9pt;height:14.25pt;mso-position-horizontal-relative:page;mso-position-vertical-relative:page;z-index:-251888640" type="#_x0000_t202" filled="false" stroked="false">
            <v:textbox inset="0,0,0,0">
              <w:txbxContent>
                <w:p>
                  <w:pPr>
                    <w:pStyle w:val="BodyText"/>
                  </w:pPr>
                  <w:r>
                    <w:rPr/>
                    <w:t>Page 4 of 4</w:t>
                  </w:r>
                </w:p>
              </w:txbxContent>
            </v:textbox>
            <w10:wrap type="none"/>
          </v:shape>
        </w:pict>
      </w:r>
      <w:r>
        <w:rPr/>
        <w:pict>
          <v:shape style="position:absolute;margin-left:77.489601pt;margin-top:60.436829pt;width:462.85pt;height:55.15pt;mso-position-horizontal-relative:page;mso-position-vertical-relative:page;z-index:-251887616" type="#_x0000_t202" filled="false" stroked="false">
            <v:textbox inset="0,0,0,0">
              <w:txbxContent>
                <w:p>
                  <w:pPr>
                    <w:pStyle w:val="BodyText"/>
                    <w:spacing w:line="259" w:lineRule="auto"/>
                    <w:ind w:right="5" w:firstLine="710"/>
                  </w:pPr>
                  <w:bookmarkStart w:name="E. Acknowledgment. To emphasize the impo" w:id="6"/>
                  <w:bookmarkEnd w:id="6"/>
                  <w:r>
                    <w:rPr/>
                  </w:r>
                  <w:r>
                    <w:rPr>
                      <w:b/>
                    </w:rPr>
                    <w:t>E. Acknowledgment. </w:t>
                  </w:r>
                  <w:r>
                    <w:rPr/>
                    <w:t>To emphasize the importance of the duty of confidentiality, the court asks that you sign this statement as an acknowledgment that you have read it, understand it, and agree to abide by it, and further that you understand violations of these confidentiality obligations may result in disciplinary action.</w:t>
                  </w:r>
                </w:p>
              </w:txbxContent>
            </v:textbox>
            <w10:wrap type="none"/>
          </v:shape>
        </w:pict>
      </w:r>
      <w:r>
        <w:rPr/>
        <w:pict>
          <v:shape style="position:absolute;margin-left:186.564804pt;margin-top:181.644989pt;width:44.2pt;height:14.25pt;mso-position-horizontal-relative:page;mso-position-vertical-relative:page;z-index:-251886592" type="#_x0000_t202" filled="false" stroked="false">
            <v:textbox inset="0,0,0,0">
              <w:txbxContent>
                <w:p>
                  <w:pPr>
                    <w:pStyle w:val="BodyText"/>
                  </w:pPr>
                  <w:r>
                    <w:rPr/>
                    <w:t>Signature</w:t>
                  </w:r>
                </w:p>
              </w:txbxContent>
            </v:textbox>
            <w10:wrap type="none"/>
          </v:shape>
        </w:pict>
      </w:r>
      <w:r>
        <w:rPr/>
        <w:pict>
          <v:shape style="position:absolute;margin-left:450.68576pt;margin-top:181.644989pt;width:22.85pt;height:14.25pt;mso-position-horizontal-relative:page;mso-position-vertical-relative:page;z-index:-251885568" type="#_x0000_t202" filled="false" stroked="false">
            <v:textbox inset="0,0,0,0">
              <w:txbxContent>
                <w:p>
                  <w:pPr>
                    <w:pStyle w:val="BodyText"/>
                  </w:pPr>
                  <w:r>
                    <w:rPr/>
                    <w:t>Date</w:t>
                  </w:r>
                </w:p>
              </w:txbxContent>
            </v:textbox>
            <w10:wrap type="none"/>
          </v:shape>
        </w:pict>
      </w:r>
      <w:r>
        <w:rPr/>
        <w:pict>
          <v:shape style="position:absolute;margin-left:77.003838pt;margin-top:248.735077pt;width:310.6pt;height:14.25pt;mso-position-horizontal-relative:page;mso-position-vertical-relative:page;z-index:-251884544" type="#_x0000_t202" filled="false" stroked="false">
            <v:textbox inset="0,0,0,0">
              <w:txbxContent>
                <w:p>
                  <w:pPr>
                    <w:pStyle w:val="BodyText"/>
                    <w:tabs>
                      <w:tab w:pos="6192" w:val="left" w:leader="none"/>
                    </w:tabs>
                  </w:pPr>
                  <w:r>
                    <w:rPr/>
                    <w:t>Printed</w:t>
                  </w:r>
                  <w:r>
                    <w:rPr>
                      <w:spacing w:val="-4"/>
                    </w:rPr>
                    <w:t> </w:t>
                  </w:r>
                  <w:r>
                    <w:rPr/>
                    <w:t>Name:</w:t>
                  </w:r>
                  <w:r>
                    <w:rPr>
                      <w:spacing w:val="1"/>
                    </w:rPr>
                    <w:t> </w:t>
                  </w:r>
                  <w:r>
                    <w:rPr>
                      <w:w w:val="100"/>
                      <w:u w:val="single"/>
                    </w:rPr>
                    <w:t> </w:t>
                  </w:r>
                  <w:r>
                    <w:rPr>
                      <w:u w:val="single"/>
                    </w:rPr>
                    <w:tab/>
                  </w:r>
                </w:p>
              </w:txbxContent>
            </v:textbox>
            <w10:wrap type="none"/>
          </v:shape>
        </w:pict>
      </w:r>
      <w:r>
        <w:rPr/>
        <w:pict>
          <v:shape style="position:absolute;margin-left:72pt;margin-top:171.315994pt;width:272.95pt;height:12pt;mso-position-horizontal-relative:page;mso-position-vertical-relative:page;z-index:-251883520" type="#_x0000_t202" filled="false" stroked="false">
            <v:textbox inset="0,0,0,0">
              <w:txbxContent>
                <w:p>
                  <w:pPr>
                    <w:pStyle w:val="BodyText"/>
                    <w:spacing w:before="4"/>
                    <w:ind w:left="40"/>
                    <w:rPr>
                      <w:sz w:val="17"/>
                    </w:rPr>
                  </w:pPr>
                </w:p>
              </w:txbxContent>
            </v:textbox>
            <w10:wrap type="none"/>
          </v:shape>
        </w:pict>
      </w:r>
      <w:r>
        <w:rPr/>
        <w:pict>
          <v:shape style="position:absolute;margin-left:383.980011pt;margin-top:171.315994pt;width:155.9pt;height:12pt;mso-position-horizontal-relative:page;mso-position-vertical-relative:page;z-index:-251882496" type="#_x0000_t202" filled="false" stroked="false">
            <v:textbox inset="0,0,0,0">
              <w:txbxContent>
                <w:p>
                  <w:pPr>
                    <w:pStyle w:val="BodyText"/>
                    <w:spacing w:before="4"/>
                    <w:ind w:left="40"/>
                    <w:rPr>
                      <w:sz w:val="17"/>
                    </w:rPr>
                  </w:pPr>
                </w:p>
              </w:txbxContent>
            </v:textbox>
            <w10:wrap type="none"/>
          </v:shape>
        </w:pict>
      </w:r>
      <w:r>
        <w:rPr/>
        <w:pict>
          <v:shape style="position:absolute;margin-left:144.71785pt;margin-top:248.572937pt;width:241.95pt;height:12pt;mso-position-horizontal-relative:page;mso-position-vertical-relative:page;z-index:-251881472" type="#_x0000_t202" filled="false" stroked="false">
            <v:textbox inset="0,0,0,0">
              <w:txbxContent>
                <w:p>
                  <w:pPr>
                    <w:pStyle w:val="BodyText"/>
                    <w:spacing w:before="4"/>
                    <w:ind w:left="40"/>
                    <w:rPr>
                      <w:sz w:val="17"/>
                    </w:rPr>
                  </w:pPr>
                </w:p>
              </w:txbxContent>
            </v:textbox>
            <w10:wrap type="none"/>
          </v:shape>
        </w:pict>
      </w:r>
    </w:p>
    <w:sectPr>
      <w:pgSz w:w="12240" w:h="15840"/>
      <w:pgMar w:top="700" w:bottom="280" w:left="14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Courts</dc:creator>
  <dc:title>Model Confidentiality Statement</dc:title>
  <dcterms:created xsi:type="dcterms:W3CDTF">2020-01-14T15:42:25Z</dcterms:created>
  <dcterms:modified xsi:type="dcterms:W3CDTF">2020-01-14T15:42:25Z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Acrobat PDFMaker 11 for Word</vt:lpwstr>
  </property>
  <property fmtid="{D5CDD505-2E9C-101B-9397-08002B2CF9AE}" pid="4" name="LastSaved">
    <vt:filetime>2020-01-14T00:00:00Z</vt:filetime>
  </property>
</Properties>
</file>