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31" w:rsidRDefault="00BD1A1F">
      <w:pPr>
        <w:rPr>
          <w:sz w:val="2"/>
          <w:szCs w:val="2"/>
        </w:rPr>
      </w:pPr>
      <w:r>
        <w:pict>
          <v:rect id="_x0000_s1046" style="position:absolute;margin-left:195.85pt;margin-top:43.8pt;width:196.2pt;height:25pt;z-index:-251787264;mso-position-horizontal-relative:page;mso-position-vertical-relative:page" filled="f" strokeweight="1pt">
            <w10:wrap anchorx="page" anchory="page"/>
          </v:rect>
        </w:pict>
      </w:r>
      <w:r>
        <w:pict>
          <v:shapetype id="_x0000_t202" coordsize="21600,21600" o:spt="202" path="m,l,21600r21600,l21600,xe">
            <v:stroke joinstyle="miter"/>
            <v:path gradientshapeok="t" o:connecttype="rect"/>
          </v:shapetype>
          <v:shape id="_x0000_s1045" type="#_x0000_t202" style="position:absolute;margin-left:196.35pt;margin-top:54.45pt;width:195.75pt;height:14pt;z-index:-251786240;mso-position-horizontal-relative:page;mso-position-vertical-relative:page" filled="f" stroked="f">
            <v:textbox inset="0,0,0,0">
              <w:txbxContent>
                <w:p w:rsidR="007F0831" w:rsidRDefault="00BD1A1F">
                  <w:pPr>
                    <w:tabs>
                      <w:tab w:val="left" w:pos="3895"/>
                    </w:tabs>
                    <w:spacing w:before="20"/>
                    <w:ind w:left="20"/>
                    <w:rPr>
                      <w:b/>
                      <w:sz w:val="18"/>
                    </w:rPr>
                  </w:pPr>
                  <w:r>
                    <w:rPr>
                      <w:b/>
                      <w:sz w:val="18"/>
                    </w:rPr>
                    <w:t>EHR</w:t>
                  </w:r>
                  <w:r>
                    <w:rPr>
                      <w:b/>
                      <w:spacing w:val="-7"/>
                      <w:sz w:val="18"/>
                    </w:rPr>
                    <w:t xml:space="preserve"> </w:t>
                  </w:r>
                  <w:r>
                    <w:rPr>
                      <w:b/>
                      <w:sz w:val="18"/>
                    </w:rPr>
                    <w:t>Vendor:</w:t>
                  </w:r>
                  <w:r>
                    <w:rPr>
                      <w:b/>
                      <w:sz w:val="18"/>
                      <w:u w:val="single"/>
                    </w:rPr>
                    <w:t xml:space="preserve"> </w:t>
                  </w:r>
                  <w:r>
                    <w:rPr>
                      <w:b/>
                      <w:sz w:val="18"/>
                      <w:u w:val="single"/>
                    </w:rPr>
                    <w:tab/>
                  </w:r>
                </w:p>
              </w:txbxContent>
            </v:textbox>
            <w10:wrap anchorx="page" anchory="page"/>
          </v:shape>
        </w:pict>
      </w:r>
      <w:r>
        <w:pict>
          <v:shape id="_x0000_s1044" type="#_x0000_t202" style="position:absolute;margin-left:34.9pt;margin-top:70.9pt;width:557.15pt;height:604.55pt;z-index:-251785216;mso-position-horizontal-relative:page;mso-position-vertical-relative:page" filled="f" stroked="f">
            <v:textbox inset="0,0,0,0">
              <w:txbxContent>
                <w:p w:rsidR="007F0831" w:rsidRDefault="00BD1A1F">
                  <w:pPr>
                    <w:spacing w:before="20"/>
                    <w:ind w:left="3123"/>
                    <w:rPr>
                      <w:b/>
                      <w:sz w:val="24"/>
                    </w:rPr>
                  </w:pPr>
                  <w:r>
                    <w:rPr>
                      <w:b/>
                      <w:sz w:val="24"/>
                      <w:u w:val="single"/>
                    </w:rPr>
                    <w:t>Confidentiality Statement</w:t>
                  </w:r>
                  <w:r>
                    <w:rPr>
                      <w:b/>
                      <w:spacing w:val="63"/>
                      <w:sz w:val="24"/>
                      <w:u w:val="single"/>
                    </w:rPr>
                    <w:t xml:space="preserve"> </w:t>
                  </w:r>
                  <w:r>
                    <w:rPr>
                      <w:b/>
                      <w:sz w:val="24"/>
                      <w:u w:val="single"/>
                    </w:rPr>
                    <w:t>(Vendor)</w:t>
                  </w:r>
                </w:p>
                <w:p w:rsidR="007F0831" w:rsidRDefault="00BD1A1F">
                  <w:pPr>
                    <w:spacing w:before="52"/>
                    <w:ind w:left="22" w:right="372"/>
                    <w:rPr>
                      <w:b/>
                      <w:sz w:val="20"/>
                    </w:rPr>
                  </w:pPr>
                  <w:r>
                    <w:rPr>
                      <w:b/>
                      <w:sz w:val="20"/>
                    </w:rPr>
                    <w:t>Please read this statement carefully. Be sure to ask DOHMH personnel for clarification about anything you don'</w:t>
                  </w:r>
                  <w:r>
                    <w:rPr>
                      <w:b/>
                      <w:sz w:val="20"/>
                    </w:rPr>
                    <w:t>t understand, before signing this Agreement. Refusal to sign this Agreement will result in immediate denial of access to Department of Health and Mental Hygiene records and could result in the termination of a contract.</w:t>
                  </w:r>
                </w:p>
                <w:p w:rsidR="007F0831" w:rsidRDefault="00BD1A1F">
                  <w:pPr>
                    <w:spacing w:before="81"/>
                    <w:ind w:left="22" w:right="336"/>
                    <w:rPr>
                      <w:b/>
                      <w:sz w:val="20"/>
                    </w:rPr>
                  </w:pPr>
                  <w:r>
                    <w:rPr>
                      <w:b/>
                      <w:sz w:val="20"/>
                    </w:rPr>
                    <w:t>Everyone who has access to Departmen</w:t>
                  </w:r>
                  <w:r>
                    <w:rPr>
                      <w:b/>
                      <w:sz w:val="20"/>
                    </w:rPr>
                    <w:t>t medical and personal records is required by law to safeguard the confidentiality of personal health and other information contained in these records (the "Confidential Information"). Unauthorized disclosure of Confidential Information is a violation of N</w:t>
                  </w:r>
                  <w:r>
                    <w:rPr>
                      <w:b/>
                      <w:sz w:val="20"/>
                    </w:rPr>
                    <w:t>ew York City Health Code Section 11.11 9d) and state law, subject to civil and/or criminal prosecution, penalties, forfeitures and legal action. See Section 558(e) of the City Charter and Section 3.11 of the New York City Health Code. Former employees of t</w:t>
                  </w:r>
                  <w:r>
                    <w:rPr>
                      <w:b/>
                      <w:sz w:val="20"/>
                    </w:rPr>
                    <w:t>he</w:t>
                  </w:r>
                  <w:r>
                    <w:rPr>
                      <w:b/>
                      <w:spacing w:val="-4"/>
                      <w:sz w:val="20"/>
                    </w:rPr>
                    <w:t xml:space="preserve"> </w:t>
                  </w:r>
                  <w:r>
                    <w:rPr>
                      <w:b/>
                      <w:sz w:val="20"/>
                    </w:rPr>
                    <w:t>Contractor,</w:t>
                  </w:r>
                  <w:r>
                    <w:rPr>
                      <w:b/>
                      <w:spacing w:val="-5"/>
                      <w:sz w:val="20"/>
                    </w:rPr>
                    <w:t xml:space="preserve"> </w:t>
                  </w:r>
                  <w:r>
                    <w:rPr>
                      <w:b/>
                      <w:sz w:val="20"/>
                    </w:rPr>
                    <w:t>too,</w:t>
                  </w:r>
                  <w:r>
                    <w:rPr>
                      <w:b/>
                      <w:spacing w:val="-5"/>
                      <w:sz w:val="20"/>
                    </w:rPr>
                    <w:t xml:space="preserve"> </w:t>
                  </w:r>
                  <w:r>
                    <w:rPr>
                      <w:b/>
                      <w:sz w:val="20"/>
                    </w:rPr>
                    <w:t>must</w:t>
                  </w:r>
                  <w:r>
                    <w:rPr>
                      <w:b/>
                      <w:spacing w:val="-3"/>
                      <w:sz w:val="20"/>
                    </w:rPr>
                    <w:t xml:space="preserve"> </w:t>
                  </w:r>
                  <w:r>
                    <w:rPr>
                      <w:b/>
                      <w:sz w:val="20"/>
                    </w:rPr>
                    <w:t>continue</w:t>
                  </w:r>
                  <w:r>
                    <w:rPr>
                      <w:b/>
                      <w:spacing w:val="-1"/>
                      <w:sz w:val="20"/>
                    </w:rPr>
                    <w:t xml:space="preserve"> </w:t>
                  </w:r>
                  <w:r>
                    <w:rPr>
                      <w:b/>
                      <w:sz w:val="20"/>
                    </w:rPr>
                    <w:t>to</w:t>
                  </w:r>
                  <w:r>
                    <w:rPr>
                      <w:b/>
                      <w:spacing w:val="-4"/>
                      <w:sz w:val="20"/>
                    </w:rPr>
                    <w:t xml:space="preserve"> </w:t>
                  </w:r>
                  <w:r>
                    <w:rPr>
                      <w:b/>
                      <w:sz w:val="20"/>
                    </w:rPr>
                    <w:t>comply</w:t>
                  </w:r>
                  <w:r>
                    <w:rPr>
                      <w:b/>
                      <w:spacing w:val="-3"/>
                      <w:sz w:val="20"/>
                    </w:rPr>
                    <w:t xml:space="preserve"> </w:t>
                  </w:r>
                  <w:r>
                    <w:rPr>
                      <w:b/>
                      <w:sz w:val="20"/>
                    </w:rPr>
                    <w:t>with</w:t>
                  </w:r>
                  <w:r>
                    <w:rPr>
                      <w:b/>
                      <w:spacing w:val="-3"/>
                      <w:sz w:val="20"/>
                    </w:rPr>
                    <w:t xml:space="preserve"> </w:t>
                  </w:r>
                  <w:r>
                    <w:rPr>
                      <w:b/>
                      <w:sz w:val="20"/>
                    </w:rPr>
                    <w:t>confidentiality</w:t>
                  </w:r>
                  <w:r>
                    <w:rPr>
                      <w:b/>
                      <w:spacing w:val="-4"/>
                      <w:sz w:val="20"/>
                    </w:rPr>
                    <w:t xml:space="preserve"> </w:t>
                  </w:r>
                  <w:r>
                    <w:rPr>
                      <w:b/>
                      <w:sz w:val="20"/>
                    </w:rPr>
                    <w:t>requirements</w:t>
                  </w:r>
                  <w:r>
                    <w:rPr>
                      <w:b/>
                      <w:spacing w:val="-2"/>
                      <w:sz w:val="20"/>
                    </w:rPr>
                    <w:t xml:space="preserve"> </w:t>
                  </w:r>
                  <w:r>
                    <w:rPr>
                      <w:b/>
                      <w:sz w:val="20"/>
                    </w:rPr>
                    <w:t>after</w:t>
                  </w:r>
                  <w:r>
                    <w:rPr>
                      <w:b/>
                      <w:spacing w:val="-3"/>
                      <w:sz w:val="20"/>
                    </w:rPr>
                    <w:t xml:space="preserve"> </w:t>
                  </w:r>
                  <w:r>
                    <w:rPr>
                      <w:b/>
                      <w:sz w:val="20"/>
                    </w:rPr>
                    <w:t>leaving</w:t>
                  </w:r>
                  <w:r>
                    <w:rPr>
                      <w:b/>
                      <w:spacing w:val="-6"/>
                      <w:sz w:val="20"/>
                    </w:rPr>
                    <w:t xml:space="preserve"> </w:t>
                  </w:r>
                  <w:r>
                    <w:rPr>
                      <w:b/>
                      <w:sz w:val="20"/>
                    </w:rPr>
                    <w:t>employment</w:t>
                  </w:r>
                  <w:r>
                    <w:rPr>
                      <w:b/>
                      <w:spacing w:val="-4"/>
                      <w:sz w:val="20"/>
                    </w:rPr>
                    <w:t xml:space="preserve"> </w:t>
                  </w:r>
                  <w:r>
                    <w:rPr>
                      <w:b/>
                      <w:sz w:val="20"/>
                    </w:rPr>
                    <w:t>with</w:t>
                  </w:r>
                  <w:r>
                    <w:rPr>
                      <w:b/>
                      <w:spacing w:val="-3"/>
                      <w:sz w:val="20"/>
                    </w:rPr>
                    <w:t xml:space="preserve"> </w:t>
                  </w:r>
                  <w:r>
                    <w:rPr>
                      <w:b/>
                      <w:sz w:val="20"/>
                    </w:rPr>
                    <w:t>the Contractor.</w:t>
                  </w:r>
                </w:p>
                <w:p w:rsidR="007F0831" w:rsidRDefault="00BD1A1F">
                  <w:pPr>
                    <w:spacing w:before="79"/>
                    <w:ind w:left="21" w:right="372"/>
                    <w:rPr>
                      <w:b/>
                      <w:sz w:val="20"/>
                    </w:rPr>
                  </w:pPr>
                  <w:r>
                    <w:rPr>
                      <w:b/>
                      <w:sz w:val="20"/>
                    </w:rPr>
                    <w:t>The Citywide Immunization Registry (CIR) will provide EHR Vendors with data from CIR and/or Master Child Index (MCI), in any fields,</w:t>
                  </w:r>
                  <w:r>
                    <w:rPr>
                      <w:b/>
                      <w:sz w:val="20"/>
                    </w:rPr>
                    <w:t xml:space="preserve"> format or media as may be pertinent to the work required under a procurement contract in accordance with the following terms and conditions:</w:t>
                  </w:r>
                </w:p>
                <w:p w:rsidR="007F0831" w:rsidRDefault="00BD1A1F">
                  <w:pPr>
                    <w:pStyle w:val="BodyText"/>
                    <w:numPr>
                      <w:ilvl w:val="0"/>
                      <w:numId w:val="1"/>
                    </w:numPr>
                    <w:tabs>
                      <w:tab w:val="left" w:pos="308"/>
                    </w:tabs>
                    <w:spacing w:before="28"/>
                    <w:ind w:right="505" w:firstLine="0"/>
                  </w:pPr>
                  <w:r>
                    <w:t>EHR vendors acknowledge that they and their employees and agents, including subcontractors, have been provided with access to Department of Health and Mental Hygiene information that must be held in the strictest confidence, and agree that</w:t>
                  </w:r>
                  <w:r>
                    <w:rPr>
                      <w:spacing w:val="-25"/>
                    </w:rPr>
                    <w:t xml:space="preserve"> </w:t>
                  </w:r>
                  <w:r>
                    <w:t>they</w:t>
                  </w:r>
                </w:p>
                <w:p w:rsidR="007F0831" w:rsidRDefault="00BD1A1F">
                  <w:pPr>
                    <w:pStyle w:val="BodyText"/>
                    <w:spacing w:before="0" w:line="238" w:lineRule="exact"/>
                    <w:ind w:left="22"/>
                  </w:pPr>
                  <w:proofErr w:type="gramStart"/>
                  <w:r>
                    <w:t>shall</w:t>
                  </w:r>
                  <w:proofErr w:type="gramEnd"/>
                  <w:r>
                    <w:t xml:space="preserve"> conti</w:t>
                  </w:r>
                  <w:r>
                    <w:t>nue to hold these data in the strictest confidence, except as provided herein.</w:t>
                  </w:r>
                </w:p>
                <w:p w:rsidR="007F0831" w:rsidRDefault="00BD1A1F">
                  <w:pPr>
                    <w:pStyle w:val="BodyText"/>
                    <w:numPr>
                      <w:ilvl w:val="0"/>
                      <w:numId w:val="1"/>
                    </w:numPr>
                    <w:tabs>
                      <w:tab w:val="left" w:pos="207"/>
                    </w:tabs>
                    <w:spacing w:before="53"/>
                    <w:ind w:left="206" w:hanging="185"/>
                  </w:pPr>
                  <w:r>
                    <w:t>EHR</w:t>
                  </w:r>
                  <w:r>
                    <w:rPr>
                      <w:spacing w:val="-2"/>
                    </w:rPr>
                    <w:t xml:space="preserve"> </w:t>
                  </w:r>
                  <w:r>
                    <w:t>Vendors</w:t>
                  </w:r>
                  <w:r>
                    <w:rPr>
                      <w:spacing w:val="-1"/>
                    </w:rPr>
                    <w:t xml:space="preserve"> </w:t>
                  </w:r>
                  <w:r>
                    <w:t>shall</w:t>
                  </w:r>
                  <w:r>
                    <w:rPr>
                      <w:spacing w:val="-2"/>
                    </w:rPr>
                    <w:t xml:space="preserve"> </w:t>
                  </w:r>
                  <w:r>
                    <w:t>request</w:t>
                  </w:r>
                  <w:r>
                    <w:rPr>
                      <w:spacing w:val="-2"/>
                    </w:rPr>
                    <w:t xml:space="preserve"> </w:t>
                  </w:r>
                  <w:r>
                    <w:t>data</w:t>
                  </w:r>
                  <w:r>
                    <w:rPr>
                      <w:spacing w:val="-2"/>
                    </w:rPr>
                    <w:t xml:space="preserve"> </w:t>
                  </w:r>
                  <w:r>
                    <w:t>and</w:t>
                  </w:r>
                  <w:r>
                    <w:rPr>
                      <w:spacing w:val="-2"/>
                    </w:rPr>
                    <w:t xml:space="preserve"> </w:t>
                  </w:r>
                  <w:r>
                    <w:t>fields</w:t>
                  </w:r>
                  <w:r>
                    <w:rPr>
                      <w:spacing w:val="-1"/>
                    </w:rPr>
                    <w:t xml:space="preserve"> </w:t>
                  </w:r>
                  <w:r>
                    <w:t>as</w:t>
                  </w:r>
                  <w:r>
                    <w:rPr>
                      <w:spacing w:val="-1"/>
                    </w:rPr>
                    <w:t xml:space="preserve"> </w:t>
                  </w:r>
                  <w:r>
                    <w:t>needed,</w:t>
                  </w:r>
                  <w:r>
                    <w:rPr>
                      <w:spacing w:val="-2"/>
                    </w:rPr>
                    <w:t xml:space="preserve"> </w:t>
                  </w:r>
                  <w:r>
                    <w:t>accompanied</w:t>
                  </w:r>
                  <w:r>
                    <w:rPr>
                      <w:spacing w:val="-2"/>
                    </w:rPr>
                    <w:t xml:space="preserve"> </w:t>
                  </w:r>
                  <w:r>
                    <w:t>by</w:t>
                  </w:r>
                  <w:r>
                    <w:rPr>
                      <w:spacing w:val="-2"/>
                    </w:rPr>
                    <w:t xml:space="preserve"> </w:t>
                  </w:r>
                  <w:r>
                    <w:t>a</w:t>
                  </w:r>
                  <w:r>
                    <w:rPr>
                      <w:spacing w:val="-2"/>
                    </w:rPr>
                    <w:t xml:space="preserve"> </w:t>
                  </w:r>
                  <w:r>
                    <w:t>summary</w:t>
                  </w:r>
                  <w:r>
                    <w:rPr>
                      <w:spacing w:val="-2"/>
                    </w:rPr>
                    <w:t xml:space="preserve"> </w:t>
                  </w:r>
                  <w:r>
                    <w:t>statement</w:t>
                  </w:r>
                  <w:r>
                    <w:rPr>
                      <w:spacing w:val="-2"/>
                    </w:rPr>
                    <w:t xml:space="preserve"> </w:t>
                  </w:r>
                  <w:r>
                    <w:t>of</w:t>
                  </w:r>
                  <w:r>
                    <w:rPr>
                      <w:spacing w:val="-2"/>
                    </w:rPr>
                    <w:t xml:space="preserve"> </w:t>
                  </w:r>
                  <w:r>
                    <w:t>the</w:t>
                  </w:r>
                  <w:r>
                    <w:rPr>
                      <w:spacing w:val="-2"/>
                    </w:rPr>
                    <w:t xml:space="preserve"> </w:t>
                  </w:r>
                  <w:r>
                    <w:t>reason</w:t>
                  </w:r>
                  <w:r>
                    <w:rPr>
                      <w:spacing w:val="-2"/>
                    </w:rPr>
                    <w:t xml:space="preserve"> </w:t>
                  </w:r>
                  <w:r>
                    <w:t>or</w:t>
                  </w:r>
                  <w:r>
                    <w:rPr>
                      <w:spacing w:val="-2"/>
                    </w:rPr>
                    <w:t xml:space="preserve"> </w:t>
                  </w:r>
                  <w:r>
                    <w:t>basis</w:t>
                  </w:r>
                  <w:r>
                    <w:rPr>
                      <w:spacing w:val="-1"/>
                    </w:rPr>
                    <w:t xml:space="preserve"> </w:t>
                  </w:r>
                  <w:r>
                    <w:t>for</w:t>
                  </w:r>
                  <w:r>
                    <w:rPr>
                      <w:spacing w:val="-2"/>
                    </w:rPr>
                    <w:t xml:space="preserve"> </w:t>
                  </w:r>
                  <w:r>
                    <w:t>the</w:t>
                  </w:r>
                  <w:r>
                    <w:rPr>
                      <w:spacing w:val="-2"/>
                    </w:rPr>
                    <w:t xml:space="preserve"> </w:t>
                  </w:r>
                  <w:r>
                    <w:t>request.</w:t>
                  </w:r>
                </w:p>
                <w:p w:rsidR="007F0831" w:rsidRDefault="00BD1A1F">
                  <w:pPr>
                    <w:pStyle w:val="BodyText"/>
                    <w:numPr>
                      <w:ilvl w:val="0"/>
                      <w:numId w:val="1"/>
                    </w:numPr>
                    <w:tabs>
                      <w:tab w:val="left" w:pos="208"/>
                    </w:tabs>
                    <w:spacing w:before="54"/>
                    <w:ind w:right="372" w:firstLine="0"/>
                  </w:pPr>
                  <w:r>
                    <w:t>Each EHR Vendor agrees that no agent, employee, V</w:t>
                  </w:r>
                  <w:r>
                    <w:t>endor, subcontractor or other individual to whom she or he provides information obtained from the Department shall attempt to contact any person who is the subject of any DOHMH report or</w:t>
                  </w:r>
                  <w:r>
                    <w:rPr>
                      <w:spacing w:val="-17"/>
                    </w:rPr>
                    <w:t xml:space="preserve"> </w:t>
                  </w:r>
                  <w:r>
                    <w:t>record.</w:t>
                  </w:r>
                </w:p>
                <w:p w:rsidR="007F0831" w:rsidRDefault="00BD1A1F">
                  <w:pPr>
                    <w:pStyle w:val="BodyText"/>
                    <w:numPr>
                      <w:ilvl w:val="0"/>
                      <w:numId w:val="1"/>
                    </w:numPr>
                    <w:tabs>
                      <w:tab w:val="left" w:pos="207"/>
                    </w:tabs>
                    <w:spacing w:before="54"/>
                    <w:ind w:right="502" w:firstLine="0"/>
                  </w:pPr>
                  <w:r>
                    <w:t xml:space="preserve">Each EHR Vendor agrees that none of his or her agents, employees, subcontractors or any other individuals to whom information obtained from Department records is provided shall at any time disclose the contents of ANY record, report or other data provided </w:t>
                  </w:r>
                  <w:r>
                    <w:t>by DOHMH, including, but not limited to, personal identifying information of any individual in the CIR</w:t>
                  </w:r>
                  <w:r>
                    <w:rPr>
                      <w:spacing w:val="-13"/>
                    </w:rPr>
                    <w:t xml:space="preserve"> </w:t>
                  </w:r>
                  <w:r>
                    <w:t>database.</w:t>
                  </w:r>
                </w:p>
                <w:p w:rsidR="007F0831" w:rsidRDefault="00BD1A1F">
                  <w:pPr>
                    <w:pStyle w:val="BodyText"/>
                    <w:numPr>
                      <w:ilvl w:val="0"/>
                      <w:numId w:val="1"/>
                    </w:numPr>
                    <w:tabs>
                      <w:tab w:val="left" w:pos="207"/>
                    </w:tabs>
                    <w:spacing w:before="52"/>
                    <w:ind w:right="444" w:firstLine="0"/>
                    <w:jc w:val="both"/>
                  </w:pPr>
                  <w:r>
                    <w:t>Each EHR Vendor agrees that, upon completion of the work required pursuant to the procurement, either return to DOHMH all data provided</w:t>
                  </w:r>
                  <w:r>
                    <w:rPr>
                      <w:spacing w:val="-3"/>
                    </w:rPr>
                    <w:t xml:space="preserve"> </w:t>
                  </w:r>
                  <w:r>
                    <w:t>by</w:t>
                  </w:r>
                  <w:r>
                    <w:rPr>
                      <w:spacing w:val="-3"/>
                    </w:rPr>
                    <w:t xml:space="preserve"> </w:t>
                  </w:r>
                  <w:r>
                    <w:t>DOHM</w:t>
                  </w:r>
                  <w:r>
                    <w:t>H</w:t>
                  </w:r>
                  <w:r>
                    <w:rPr>
                      <w:spacing w:val="-3"/>
                    </w:rPr>
                    <w:t xml:space="preserve"> </w:t>
                  </w:r>
                  <w:r>
                    <w:t>which</w:t>
                  </w:r>
                  <w:r>
                    <w:rPr>
                      <w:spacing w:val="-3"/>
                    </w:rPr>
                    <w:t xml:space="preserve"> </w:t>
                  </w:r>
                  <w:r>
                    <w:t>the</w:t>
                  </w:r>
                  <w:r>
                    <w:rPr>
                      <w:spacing w:val="-3"/>
                    </w:rPr>
                    <w:t xml:space="preserve"> </w:t>
                  </w:r>
                  <w:r>
                    <w:t>vendor</w:t>
                  </w:r>
                  <w:r>
                    <w:rPr>
                      <w:spacing w:val="-3"/>
                    </w:rPr>
                    <w:t xml:space="preserve"> </w:t>
                  </w:r>
                  <w:r>
                    <w:t>has</w:t>
                  </w:r>
                  <w:r>
                    <w:rPr>
                      <w:spacing w:val="-2"/>
                    </w:rPr>
                    <w:t xml:space="preserve"> </w:t>
                  </w:r>
                  <w:r>
                    <w:t>either</w:t>
                  </w:r>
                  <w:r>
                    <w:rPr>
                      <w:spacing w:val="-3"/>
                    </w:rPr>
                    <w:t xml:space="preserve"> </w:t>
                  </w:r>
                  <w:r>
                    <w:t>not</w:t>
                  </w:r>
                  <w:r>
                    <w:rPr>
                      <w:spacing w:val="-3"/>
                    </w:rPr>
                    <w:t xml:space="preserve"> </w:t>
                  </w:r>
                  <w:r>
                    <w:t>loaded onto</w:t>
                  </w:r>
                  <w:r>
                    <w:rPr>
                      <w:spacing w:val="-2"/>
                    </w:rPr>
                    <w:t xml:space="preserve"> </w:t>
                  </w:r>
                  <w:r>
                    <w:t>DOHMH</w:t>
                  </w:r>
                  <w:r>
                    <w:rPr>
                      <w:spacing w:val="-3"/>
                    </w:rPr>
                    <w:t xml:space="preserve"> </w:t>
                  </w:r>
                  <w:r>
                    <w:t>servers</w:t>
                  </w:r>
                  <w:r>
                    <w:rPr>
                      <w:spacing w:val="-2"/>
                    </w:rPr>
                    <w:t xml:space="preserve"> </w:t>
                  </w:r>
                  <w:r>
                    <w:t>or</w:t>
                  </w:r>
                  <w:r>
                    <w:rPr>
                      <w:spacing w:val="-3"/>
                    </w:rPr>
                    <w:t xml:space="preserve"> </w:t>
                  </w:r>
                  <w:r>
                    <w:t>previously</w:t>
                  </w:r>
                  <w:r>
                    <w:rPr>
                      <w:spacing w:val="-3"/>
                    </w:rPr>
                    <w:t xml:space="preserve"> </w:t>
                  </w:r>
                  <w:r>
                    <w:t>returned</w:t>
                  </w:r>
                  <w:r>
                    <w:rPr>
                      <w:spacing w:val="-2"/>
                    </w:rPr>
                    <w:t xml:space="preserve"> </w:t>
                  </w:r>
                  <w:r>
                    <w:t>to</w:t>
                  </w:r>
                  <w:r>
                    <w:rPr>
                      <w:spacing w:val="-2"/>
                    </w:rPr>
                    <w:t xml:space="preserve"> </w:t>
                  </w:r>
                  <w:r>
                    <w:t>DOHMH,</w:t>
                  </w:r>
                  <w:r>
                    <w:rPr>
                      <w:spacing w:val="-3"/>
                    </w:rPr>
                    <w:t xml:space="preserve"> </w:t>
                  </w:r>
                  <w:r>
                    <w:t>or</w:t>
                  </w:r>
                  <w:r>
                    <w:rPr>
                      <w:spacing w:val="-3"/>
                    </w:rPr>
                    <w:t xml:space="preserve"> </w:t>
                  </w:r>
                  <w:r>
                    <w:t>document</w:t>
                  </w:r>
                  <w:r>
                    <w:rPr>
                      <w:spacing w:val="-3"/>
                    </w:rPr>
                    <w:t xml:space="preserve"> </w:t>
                  </w:r>
                  <w:r>
                    <w:t>to the satisfaction of DOHMH that data not loaded onto DOHMH servers have been</w:t>
                  </w:r>
                  <w:r>
                    <w:rPr>
                      <w:spacing w:val="-5"/>
                    </w:rPr>
                    <w:t xml:space="preserve"> </w:t>
                  </w:r>
                  <w:r>
                    <w:t>destroyed.</w:t>
                  </w:r>
                </w:p>
                <w:p w:rsidR="007F0831" w:rsidRDefault="00BD1A1F">
                  <w:pPr>
                    <w:pStyle w:val="BodyText"/>
                    <w:numPr>
                      <w:ilvl w:val="0"/>
                      <w:numId w:val="1"/>
                    </w:numPr>
                    <w:tabs>
                      <w:tab w:val="left" w:pos="207"/>
                    </w:tabs>
                    <w:spacing w:before="54"/>
                    <w:ind w:left="206" w:hanging="185"/>
                    <w:jc w:val="both"/>
                  </w:pPr>
                  <w:bookmarkStart w:id="0" w:name="6._Each_EHR_Vendor_acknowledges_that_all"/>
                  <w:bookmarkEnd w:id="0"/>
                  <w:r>
                    <w:t>E</w:t>
                  </w:r>
                  <w:r>
                    <w:t>ach EHR Vendor acknowledges that all data given by DOHMH shall remain the property of</w:t>
                  </w:r>
                  <w:r>
                    <w:rPr>
                      <w:spacing w:val="-6"/>
                    </w:rPr>
                    <w:t xml:space="preserve"> </w:t>
                  </w:r>
                  <w:r>
                    <w:t>DOHMH.</w:t>
                  </w:r>
                </w:p>
                <w:p w:rsidR="007F0831" w:rsidRDefault="00BD1A1F">
                  <w:pPr>
                    <w:pStyle w:val="BodyText"/>
                    <w:numPr>
                      <w:ilvl w:val="0"/>
                      <w:numId w:val="1"/>
                    </w:numPr>
                    <w:tabs>
                      <w:tab w:val="left" w:pos="207"/>
                    </w:tabs>
                    <w:spacing w:before="54"/>
                    <w:ind w:right="448" w:firstLine="0"/>
                  </w:pPr>
                  <w:r>
                    <w:t>Neither the EHR Vendors nor any of their agents, employees, or subcontractors shall compile any aggregate data or statistics from the CIR and\or MCI databases, nor</w:t>
                  </w:r>
                  <w:r>
                    <w:t xml:space="preserve"> publish any reports, based upon, or which are the results or analyses of, DOHMH data or records, in any medium of communication, or repackage any identifiable DOHMH data for offer or sale to or use by any other prospective purchaser, except as expressly a</w:t>
                  </w:r>
                  <w:r>
                    <w:t>uthorized in writing by DOHMH.</w:t>
                  </w:r>
                </w:p>
                <w:p w:rsidR="007F0831" w:rsidRDefault="00BD1A1F">
                  <w:pPr>
                    <w:pStyle w:val="BodyText"/>
                    <w:numPr>
                      <w:ilvl w:val="0"/>
                      <w:numId w:val="1"/>
                    </w:numPr>
                    <w:tabs>
                      <w:tab w:val="left" w:pos="207"/>
                    </w:tabs>
                    <w:spacing w:before="52"/>
                    <w:ind w:right="482" w:firstLine="0"/>
                    <w:jc w:val="both"/>
                  </w:pPr>
                  <w:r>
                    <w:t>In the event that any EHR Vendor is authorized to use DOHMH data for any publication, the Vendor agrees that such data shall only be</w:t>
                  </w:r>
                  <w:r>
                    <w:rPr>
                      <w:spacing w:val="-4"/>
                    </w:rPr>
                    <w:t xml:space="preserve"> </w:t>
                  </w:r>
                  <w:r>
                    <w:t>published</w:t>
                  </w:r>
                  <w:r>
                    <w:rPr>
                      <w:spacing w:val="-3"/>
                    </w:rPr>
                    <w:t xml:space="preserve"> </w:t>
                  </w:r>
                  <w:r>
                    <w:t>in</w:t>
                  </w:r>
                  <w:r>
                    <w:rPr>
                      <w:spacing w:val="-4"/>
                    </w:rPr>
                    <w:t xml:space="preserve"> </w:t>
                  </w:r>
                  <w:r>
                    <w:t>the</w:t>
                  </w:r>
                  <w:r>
                    <w:rPr>
                      <w:spacing w:val="-3"/>
                    </w:rPr>
                    <w:t xml:space="preserve"> </w:t>
                  </w:r>
                  <w:r>
                    <w:t>aggregate</w:t>
                  </w:r>
                  <w:r>
                    <w:rPr>
                      <w:spacing w:val="-3"/>
                    </w:rPr>
                    <w:t xml:space="preserve"> </w:t>
                  </w:r>
                  <w:r>
                    <w:t>and</w:t>
                  </w:r>
                  <w:r>
                    <w:rPr>
                      <w:spacing w:val="-3"/>
                    </w:rPr>
                    <w:t xml:space="preserve"> </w:t>
                  </w:r>
                  <w:r>
                    <w:t>not</w:t>
                  </w:r>
                  <w:r>
                    <w:rPr>
                      <w:spacing w:val="-3"/>
                    </w:rPr>
                    <w:t xml:space="preserve"> </w:t>
                  </w:r>
                  <w:r>
                    <w:t>include</w:t>
                  </w:r>
                  <w:r>
                    <w:rPr>
                      <w:spacing w:val="-3"/>
                    </w:rPr>
                    <w:t xml:space="preserve"> </w:t>
                  </w:r>
                  <w:r>
                    <w:t>any</w:t>
                  </w:r>
                  <w:r>
                    <w:rPr>
                      <w:spacing w:val="-3"/>
                    </w:rPr>
                    <w:t xml:space="preserve"> </w:t>
                  </w:r>
                  <w:r>
                    <w:t>identifying</w:t>
                  </w:r>
                  <w:r>
                    <w:rPr>
                      <w:spacing w:val="-3"/>
                    </w:rPr>
                    <w:t xml:space="preserve"> </w:t>
                  </w:r>
                  <w:r>
                    <w:t>information</w:t>
                  </w:r>
                  <w:r>
                    <w:rPr>
                      <w:spacing w:val="-3"/>
                    </w:rPr>
                    <w:t xml:space="preserve"> </w:t>
                  </w:r>
                  <w:r>
                    <w:t>about</w:t>
                  </w:r>
                  <w:r>
                    <w:rPr>
                      <w:spacing w:val="-3"/>
                    </w:rPr>
                    <w:t xml:space="preserve"> </w:t>
                  </w:r>
                  <w:r>
                    <w:t>any</w:t>
                  </w:r>
                  <w:r>
                    <w:rPr>
                      <w:spacing w:val="-3"/>
                    </w:rPr>
                    <w:t xml:space="preserve"> </w:t>
                  </w:r>
                  <w:r>
                    <w:t>person,</w:t>
                  </w:r>
                  <w:r>
                    <w:rPr>
                      <w:spacing w:val="-3"/>
                    </w:rPr>
                    <w:t xml:space="preserve"> </w:t>
                  </w:r>
                  <w:r>
                    <w:t>or</w:t>
                  </w:r>
                  <w:r>
                    <w:rPr>
                      <w:spacing w:val="-4"/>
                    </w:rPr>
                    <w:t xml:space="preserve"> </w:t>
                  </w:r>
                  <w:r>
                    <w:t>any</w:t>
                  </w:r>
                  <w:r>
                    <w:rPr>
                      <w:spacing w:val="-3"/>
                    </w:rPr>
                    <w:t xml:space="preserve"> </w:t>
                  </w:r>
                  <w:r>
                    <w:t>information</w:t>
                  </w:r>
                  <w:r>
                    <w:rPr>
                      <w:spacing w:val="-3"/>
                    </w:rPr>
                    <w:t xml:space="preserve"> </w:t>
                  </w:r>
                  <w:r>
                    <w:t>which</w:t>
                  </w:r>
                  <w:r>
                    <w:rPr>
                      <w:spacing w:val="-3"/>
                    </w:rPr>
                    <w:t xml:space="preserve"> </w:t>
                  </w:r>
                  <w:r>
                    <w:t>it</w:t>
                  </w:r>
                  <w:r>
                    <w:rPr>
                      <w:spacing w:val="-4"/>
                    </w:rPr>
                    <w:t xml:space="preserve"> </w:t>
                  </w:r>
                  <w:r>
                    <w:t>is</w:t>
                  </w:r>
                  <w:r>
                    <w:rPr>
                      <w:spacing w:val="-2"/>
                    </w:rPr>
                    <w:t xml:space="preserve"> </w:t>
                  </w:r>
                  <w:r>
                    <w:t>possible</w:t>
                  </w:r>
                  <w:r>
                    <w:rPr>
                      <w:spacing w:val="-3"/>
                    </w:rPr>
                    <w:t xml:space="preserve"> </w:t>
                  </w:r>
                  <w:r>
                    <w:t>to render identifiable in combination with any other data sets or data</w:t>
                  </w:r>
                  <w:r>
                    <w:rPr>
                      <w:spacing w:val="-4"/>
                    </w:rPr>
                    <w:t xml:space="preserve"> </w:t>
                  </w:r>
                  <w:r>
                    <w:t>bases.</w:t>
                  </w:r>
                </w:p>
                <w:p w:rsidR="007F0831" w:rsidRDefault="00BD1A1F">
                  <w:pPr>
                    <w:pStyle w:val="BodyText"/>
                    <w:numPr>
                      <w:ilvl w:val="0"/>
                      <w:numId w:val="1"/>
                    </w:numPr>
                    <w:tabs>
                      <w:tab w:val="left" w:pos="207"/>
                    </w:tabs>
                    <w:spacing w:before="53"/>
                    <w:ind w:right="17" w:firstLine="0"/>
                  </w:pPr>
                  <w:r>
                    <w:t>The terms of this or any other agreement between the EHR Vendor and any entity requiring the Vendors to maintain the confidentiality of DOHMH</w:t>
                  </w:r>
                  <w:r>
                    <w:t xml:space="preserve"> data shall survive the expiration of the procurement and the completion of the</w:t>
                  </w:r>
                  <w:r>
                    <w:rPr>
                      <w:spacing w:val="-7"/>
                    </w:rPr>
                    <w:t xml:space="preserve"> </w:t>
                  </w:r>
                  <w:r>
                    <w:t>project.</w:t>
                  </w:r>
                </w:p>
                <w:p w:rsidR="007F0831" w:rsidRDefault="00BD1A1F">
                  <w:pPr>
                    <w:pStyle w:val="BodyText"/>
                    <w:numPr>
                      <w:ilvl w:val="0"/>
                      <w:numId w:val="1"/>
                    </w:numPr>
                    <w:tabs>
                      <w:tab w:val="left" w:pos="303"/>
                    </w:tabs>
                    <w:spacing w:before="54"/>
                    <w:ind w:right="637" w:firstLine="0"/>
                  </w:pPr>
                  <w:r>
                    <w:t>The EHR Vendors shall provide each of their agents, employees, Vendors or subcontractors having access to DOHMH data with a copy of this agreement and require that eac</w:t>
                  </w:r>
                  <w:r>
                    <w:t>h such person or entity understand and individually agree to comply with all applicable terms and conditions.</w:t>
                  </w:r>
                </w:p>
                <w:p w:rsidR="007F0831" w:rsidRDefault="00BD1A1F">
                  <w:pPr>
                    <w:spacing w:before="2"/>
                    <w:ind w:left="4825" w:right="4966"/>
                    <w:jc w:val="center"/>
                    <w:rPr>
                      <w:rFonts w:ascii="Times New Roman"/>
                      <w:b/>
                      <w:sz w:val="20"/>
                    </w:rPr>
                  </w:pPr>
                  <w:r>
                    <w:rPr>
                      <w:rFonts w:ascii="Times New Roman"/>
                      <w:b/>
                      <w:sz w:val="20"/>
                    </w:rPr>
                    <w:t>AGREEMENT</w:t>
                  </w:r>
                </w:p>
                <w:p w:rsidR="007F0831" w:rsidRDefault="00BD1A1F">
                  <w:pPr>
                    <w:tabs>
                      <w:tab w:val="left" w:pos="1875"/>
                      <w:tab w:val="left" w:pos="2848"/>
                      <w:tab w:val="left" w:pos="4126"/>
                      <w:tab w:val="left" w:pos="8206"/>
                    </w:tabs>
                    <w:spacing w:before="8"/>
                    <w:ind w:left="20" w:right="440" w:hanging="1"/>
                    <w:rPr>
                      <w:b/>
                      <w:sz w:val="20"/>
                    </w:rPr>
                  </w:pPr>
                  <w:r>
                    <w:rPr>
                      <w:b/>
                      <w:w w:val="99"/>
                      <w:sz w:val="20"/>
                      <w:u w:val="single"/>
                    </w:rPr>
                    <w:t xml:space="preserve"> </w:t>
                  </w:r>
                  <w:r>
                    <w:rPr>
                      <w:b/>
                      <w:sz w:val="20"/>
                      <w:u w:val="single"/>
                    </w:rPr>
                    <w:tab/>
                  </w:r>
                  <w:proofErr w:type="gramStart"/>
                  <w:r>
                    <w:rPr>
                      <w:b/>
                      <w:sz w:val="20"/>
                    </w:rPr>
                    <w:t>has</w:t>
                  </w:r>
                  <w:proofErr w:type="gramEnd"/>
                  <w:r>
                    <w:rPr>
                      <w:b/>
                      <w:sz w:val="20"/>
                    </w:rPr>
                    <w:t xml:space="preserve"> read and understand the</w:t>
                  </w:r>
                  <w:r>
                    <w:rPr>
                      <w:b/>
                      <w:spacing w:val="-39"/>
                      <w:sz w:val="20"/>
                    </w:rPr>
                    <w:t xml:space="preserve"> </w:t>
                  </w:r>
                  <w:r>
                    <w:rPr>
                      <w:b/>
                      <w:sz w:val="20"/>
                    </w:rPr>
                    <w:t>above</w:t>
                  </w:r>
                  <w:r>
                    <w:rPr>
                      <w:b/>
                      <w:spacing w:val="-8"/>
                      <w:sz w:val="20"/>
                    </w:rPr>
                    <w:t xml:space="preserve"> </w:t>
                  </w:r>
                  <w:r>
                    <w:rPr>
                      <w:b/>
                      <w:sz w:val="20"/>
                    </w:rPr>
                    <w:t>statement.</w:t>
                  </w:r>
                  <w:r>
                    <w:rPr>
                      <w:b/>
                      <w:sz w:val="20"/>
                      <w:u w:val="single"/>
                    </w:rPr>
                    <w:t xml:space="preserve"> </w:t>
                  </w:r>
                  <w:r>
                    <w:rPr>
                      <w:b/>
                      <w:sz w:val="20"/>
                      <w:u w:val="single"/>
                    </w:rPr>
                    <w:tab/>
                  </w:r>
                  <w:proofErr w:type="gramStart"/>
                  <w:r>
                    <w:rPr>
                      <w:b/>
                      <w:sz w:val="20"/>
                    </w:rPr>
                    <w:t>agrees</w:t>
                  </w:r>
                  <w:proofErr w:type="gramEnd"/>
                  <w:r>
                    <w:rPr>
                      <w:b/>
                      <w:sz w:val="20"/>
                    </w:rPr>
                    <w:t xml:space="preserve"> to keep strictly confidential all confidential information received from the records of the Department of Health and Mental Hygiene.</w:t>
                  </w:r>
                  <w:r>
                    <w:rPr>
                      <w:b/>
                      <w:sz w:val="20"/>
                      <w:u w:val="single"/>
                    </w:rPr>
                    <w:t xml:space="preserve"> </w:t>
                  </w:r>
                  <w:r>
                    <w:rPr>
                      <w:b/>
                      <w:sz w:val="20"/>
                      <w:u w:val="single"/>
                    </w:rPr>
                    <w:tab/>
                  </w:r>
                  <w:r>
                    <w:rPr>
                      <w:b/>
                      <w:sz w:val="20"/>
                      <w:u w:val="single"/>
                    </w:rPr>
                    <w:tab/>
                  </w:r>
                  <w:proofErr w:type="gramStart"/>
                  <w:r>
                    <w:rPr>
                      <w:b/>
                      <w:sz w:val="20"/>
                    </w:rPr>
                    <w:t>understands</w:t>
                  </w:r>
                  <w:proofErr w:type="gramEnd"/>
                  <w:r>
                    <w:rPr>
                      <w:b/>
                      <w:sz w:val="20"/>
                    </w:rPr>
                    <w:t xml:space="preserve"> fully the consequences if confidential information is disclosed without proper</w:t>
                  </w:r>
                  <w:r>
                    <w:rPr>
                      <w:b/>
                      <w:spacing w:val="-9"/>
                      <w:sz w:val="20"/>
                    </w:rPr>
                    <w:t xml:space="preserve"> </w:t>
                  </w:r>
                  <w:r>
                    <w:rPr>
                      <w:b/>
                      <w:sz w:val="20"/>
                    </w:rPr>
                    <w:t>authorization.</w:t>
                  </w:r>
                  <w:r>
                    <w:rPr>
                      <w:b/>
                      <w:sz w:val="20"/>
                      <w:u w:val="single"/>
                    </w:rPr>
                    <w:t xml:space="preserve"> </w:t>
                  </w:r>
                  <w:r>
                    <w:rPr>
                      <w:b/>
                      <w:sz w:val="20"/>
                      <w:u w:val="single"/>
                    </w:rPr>
                    <w:tab/>
                  </w:r>
                  <w:r>
                    <w:rPr>
                      <w:b/>
                      <w:sz w:val="20"/>
                      <w:u w:val="single"/>
                    </w:rPr>
                    <w:tab/>
                  </w:r>
                  <w:proofErr w:type="gramStart"/>
                  <w:r>
                    <w:rPr>
                      <w:b/>
                      <w:sz w:val="20"/>
                    </w:rPr>
                    <w:t>discus</w:t>
                  </w:r>
                  <w:r>
                    <w:rPr>
                      <w:b/>
                      <w:sz w:val="20"/>
                    </w:rPr>
                    <w:t>sed</w:t>
                  </w:r>
                  <w:proofErr w:type="gramEnd"/>
                  <w:r>
                    <w:rPr>
                      <w:b/>
                      <w:sz w:val="20"/>
                    </w:rPr>
                    <w:t>, and will continue to discuss, with DOHMH personnel any questions about what is confidential or to whom confidential information may be</w:t>
                  </w:r>
                  <w:r>
                    <w:rPr>
                      <w:b/>
                      <w:spacing w:val="-6"/>
                      <w:sz w:val="20"/>
                    </w:rPr>
                    <w:t xml:space="preserve"> </w:t>
                  </w:r>
                  <w:r>
                    <w:rPr>
                      <w:b/>
                      <w:sz w:val="20"/>
                    </w:rPr>
                    <w:t>revealed.</w:t>
                  </w:r>
                </w:p>
              </w:txbxContent>
            </v:textbox>
            <w10:wrap anchorx="page" anchory="page"/>
          </v:shape>
        </w:pict>
      </w:r>
      <w:r>
        <w:pict>
          <v:shape id="_x0000_s1043" type="#_x0000_t202" style="position:absolute;margin-left:34.85pt;margin-top:688.25pt;width:540.75pt;height:10.95pt;z-index:-251784192;mso-position-horizontal-relative:page;mso-position-vertical-relative:page" filled="f" stroked="f">
            <v:textbox inset="0,0,0,0">
              <w:txbxContent>
                <w:p w:rsidR="007F0831" w:rsidRDefault="00BD1A1F">
                  <w:pPr>
                    <w:tabs>
                      <w:tab w:val="left" w:pos="2199"/>
                      <w:tab w:val="left" w:pos="6657"/>
                      <w:tab w:val="left" w:pos="10795"/>
                    </w:tabs>
                    <w:spacing w:before="14"/>
                    <w:ind w:left="20"/>
                    <w:rPr>
                      <w:rFonts w:ascii="Times New Roman"/>
                      <w:sz w:val="16"/>
                    </w:rPr>
                  </w:pPr>
                  <w:r>
                    <w:rPr>
                      <w:rFonts w:ascii="Times New Roman"/>
                      <w:color w:val="020202"/>
                      <w:sz w:val="16"/>
                    </w:rPr>
                    <w:t>DATED:</w:t>
                  </w:r>
                  <w:r>
                    <w:rPr>
                      <w:rFonts w:ascii="Times New Roman"/>
                      <w:color w:val="020202"/>
                      <w:sz w:val="16"/>
                      <w:u w:val="single" w:color="010101"/>
                    </w:rPr>
                    <w:t xml:space="preserve"> </w:t>
                  </w:r>
                  <w:r>
                    <w:rPr>
                      <w:rFonts w:ascii="Times New Roman"/>
                      <w:color w:val="020202"/>
                      <w:sz w:val="16"/>
                      <w:u w:val="single" w:color="010101"/>
                    </w:rPr>
                    <w:tab/>
                  </w:r>
                  <w:r>
                    <w:rPr>
                      <w:rFonts w:ascii="Times New Roman"/>
                      <w:color w:val="020202"/>
                      <w:sz w:val="16"/>
                    </w:rPr>
                    <w:t>SIGNATURE:</w:t>
                  </w:r>
                  <w:r>
                    <w:rPr>
                      <w:rFonts w:ascii="Times New Roman"/>
                      <w:color w:val="020202"/>
                      <w:sz w:val="16"/>
                      <w:u w:val="single" w:color="010101"/>
                    </w:rPr>
                    <w:t xml:space="preserve"> </w:t>
                  </w:r>
                  <w:r>
                    <w:rPr>
                      <w:rFonts w:ascii="Times New Roman"/>
                      <w:color w:val="020202"/>
                      <w:sz w:val="16"/>
                      <w:u w:val="single" w:color="010101"/>
                    </w:rPr>
                    <w:tab/>
                  </w:r>
                  <w:r>
                    <w:rPr>
                      <w:rFonts w:ascii="Times New Roman"/>
                      <w:color w:val="020202"/>
                      <w:sz w:val="16"/>
                    </w:rPr>
                    <w:t>PRINT</w:t>
                  </w:r>
                  <w:r>
                    <w:rPr>
                      <w:rFonts w:ascii="Times New Roman"/>
                      <w:color w:val="020202"/>
                      <w:spacing w:val="10"/>
                      <w:sz w:val="16"/>
                    </w:rPr>
                    <w:t xml:space="preserve"> </w:t>
                  </w:r>
                  <w:r>
                    <w:rPr>
                      <w:rFonts w:ascii="Times New Roman"/>
                      <w:color w:val="020202"/>
                      <w:sz w:val="16"/>
                    </w:rPr>
                    <w:t>NAME:</w:t>
                  </w:r>
                  <w:r>
                    <w:rPr>
                      <w:rFonts w:ascii="Times New Roman"/>
                      <w:color w:val="020202"/>
                      <w:spacing w:val="9"/>
                      <w:sz w:val="16"/>
                    </w:rPr>
                    <w:t xml:space="preserve"> </w:t>
                  </w:r>
                  <w:r>
                    <w:rPr>
                      <w:rFonts w:ascii="Times New Roman"/>
                      <w:color w:val="020202"/>
                      <w:sz w:val="16"/>
                      <w:u w:val="single" w:color="010101"/>
                    </w:rPr>
                    <w:t xml:space="preserve"> </w:t>
                  </w:r>
                  <w:r>
                    <w:rPr>
                      <w:rFonts w:ascii="Times New Roman"/>
                      <w:color w:val="020202"/>
                      <w:sz w:val="16"/>
                      <w:u w:val="single" w:color="010101"/>
                    </w:rPr>
                    <w:tab/>
                  </w:r>
                </w:p>
              </w:txbxContent>
            </v:textbox>
            <w10:wrap anchorx="page" anchory="page"/>
          </v:shape>
        </w:pict>
      </w:r>
      <w:r>
        <w:pict>
          <v:shape id="_x0000_s1042" type="#_x0000_t202" style="position:absolute;margin-left:34.85pt;margin-top:707.75pt;width:539.3pt;height:10.95pt;z-index:-251783168;mso-position-horizontal-relative:page;mso-position-vertical-relative:page" filled="f" stroked="f">
            <v:textbox inset="0,0,0,0">
              <w:txbxContent>
                <w:p w:rsidR="007F0831" w:rsidRDefault="00BD1A1F">
                  <w:pPr>
                    <w:tabs>
                      <w:tab w:val="left" w:pos="5902"/>
                      <w:tab w:val="left" w:pos="10766"/>
                    </w:tabs>
                    <w:spacing w:before="14"/>
                    <w:ind w:left="20"/>
                    <w:rPr>
                      <w:rFonts w:ascii="Times New Roman"/>
                      <w:sz w:val="16"/>
                    </w:rPr>
                  </w:pPr>
                  <w:r>
                    <w:rPr>
                      <w:rFonts w:ascii="Times New Roman"/>
                      <w:color w:val="020202"/>
                      <w:sz w:val="16"/>
                    </w:rPr>
                    <w:t>ADDRESS:</w:t>
                  </w:r>
                  <w:r>
                    <w:rPr>
                      <w:rFonts w:ascii="Times New Roman"/>
                      <w:color w:val="020202"/>
                      <w:sz w:val="16"/>
                      <w:u w:val="single" w:color="010101"/>
                    </w:rPr>
                    <w:t xml:space="preserve"> </w:t>
                  </w:r>
                  <w:r>
                    <w:rPr>
                      <w:rFonts w:ascii="Times New Roman"/>
                      <w:color w:val="020202"/>
                      <w:sz w:val="16"/>
                      <w:u w:val="single" w:color="010101"/>
                    </w:rPr>
                    <w:tab/>
                  </w:r>
                  <w:r>
                    <w:rPr>
                      <w:rFonts w:ascii="Times New Roman"/>
                      <w:color w:val="020202"/>
                      <w:sz w:val="16"/>
                    </w:rPr>
                    <w:t>JOB</w:t>
                  </w:r>
                  <w:r>
                    <w:rPr>
                      <w:rFonts w:ascii="Times New Roman"/>
                      <w:color w:val="020202"/>
                      <w:spacing w:val="-8"/>
                      <w:sz w:val="16"/>
                    </w:rPr>
                    <w:t xml:space="preserve"> </w:t>
                  </w:r>
                  <w:r>
                    <w:rPr>
                      <w:rFonts w:ascii="Times New Roman"/>
                      <w:color w:val="020202"/>
                      <w:sz w:val="16"/>
                    </w:rPr>
                    <w:t xml:space="preserve">TITLE: </w:t>
                  </w:r>
                  <w:r>
                    <w:rPr>
                      <w:rFonts w:ascii="Times New Roman"/>
                      <w:color w:val="020202"/>
                      <w:spacing w:val="-3"/>
                      <w:sz w:val="16"/>
                    </w:rPr>
                    <w:t xml:space="preserve"> </w:t>
                  </w:r>
                  <w:r>
                    <w:rPr>
                      <w:rFonts w:ascii="Times New Roman"/>
                      <w:color w:val="020202"/>
                      <w:sz w:val="16"/>
                      <w:u w:val="single" w:color="010101"/>
                    </w:rPr>
                    <w:t xml:space="preserve"> </w:t>
                  </w:r>
                  <w:r>
                    <w:rPr>
                      <w:rFonts w:ascii="Times New Roman"/>
                      <w:color w:val="020202"/>
                      <w:sz w:val="16"/>
                      <w:u w:val="single" w:color="010101"/>
                    </w:rPr>
                    <w:tab/>
                  </w:r>
                </w:p>
              </w:txbxContent>
            </v:textbox>
            <w10:wrap anchorx="page" anchory="page"/>
          </v:shape>
        </w:pict>
      </w:r>
      <w:r>
        <w:pict>
          <v:shape id="_x0000_s1041" type="#_x0000_t202" style="position:absolute;margin-left:34.85pt;margin-top:729.45pt;width:541.35pt;height:14.25pt;z-index:-251782144;mso-position-horizontal-relative:page;mso-position-vertical-relative:page" filled="f" stroked="f">
            <v:textbox inset="0,0,0,0">
              <w:txbxContent>
                <w:p w:rsidR="007F0831" w:rsidRDefault="00BD1A1F">
                  <w:pPr>
                    <w:tabs>
                      <w:tab w:val="left" w:pos="3176"/>
                      <w:tab w:val="left" w:pos="5416"/>
                      <w:tab w:val="left" w:pos="7349"/>
                    </w:tabs>
                    <w:spacing w:before="11"/>
                    <w:ind w:left="20"/>
                    <w:rPr>
                      <w:rFonts w:ascii="Times New Roman"/>
                      <w:b/>
                    </w:rPr>
                  </w:pPr>
                  <w:r>
                    <w:rPr>
                      <w:rFonts w:ascii="Times New Roman"/>
                      <w:color w:val="020202"/>
                      <w:sz w:val="16"/>
                    </w:rPr>
                    <w:t>E-MAIL:</w:t>
                  </w:r>
                  <w:r>
                    <w:rPr>
                      <w:rFonts w:ascii="Times New Roman"/>
                      <w:color w:val="020202"/>
                      <w:sz w:val="16"/>
                      <w:u w:val="single" w:color="010101"/>
                    </w:rPr>
                    <w:t xml:space="preserve"> </w:t>
                  </w:r>
                  <w:r>
                    <w:rPr>
                      <w:rFonts w:ascii="Times New Roman"/>
                      <w:color w:val="020202"/>
                      <w:sz w:val="16"/>
                      <w:u w:val="single" w:color="010101"/>
                    </w:rPr>
                    <w:tab/>
                  </w:r>
                  <w:r>
                    <w:rPr>
                      <w:rFonts w:ascii="Times New Roman"/>
                      <w:color w:val="020202"/>
                      <w:sz w:val="16"/>
                    </w:rPr>
                    <w:t>PHONE:</w:t>
                  </w:r>
                  <w:r>
                    <w:rPr>
                      <w:rFonts w:ascii="Times New Roman"/>
                      <w:color w:val="020202"/>
                      <w:sz w:val="16"/>
                      <w:u w:val="single" w:color="010101"/>
                    </w:rPr>
                    <w:t xml:space="preserve"> </w:t>
                  </w:r>
                  <w:r>
                    <w:rPr>
                      <w:rFonts w:ascii="Times New Roman"/>
                      <w:color w:val="020202"/>
                      <w:sz w:val="16"/>
                      <w:u w:val="single" w:color="010101"/>
                    </w:rPr>
                    <w:tab/>
                  </w:r>
                  <w:r>
                    <w:rPr>
                      <w:rFonts w:ascii="Times New Roman"/>
                      <w:color w:val="020202"/>
                      <w:sz w:val="16"/>
                    </w:rPr>
                    <w:t>FAX:</w:t>
                  </w:r>
                  <w:r>
                    <w:rPr>
                      <w:rFonts w:ascii="Times New Roman"/>
                      <w:color w:val="020202"/>
                      <w:sz w:val="16"/>
                      <w:u w:val="single" w:color="010101"/>
                    </w:rPr>
                    <w:t xml:space="preserve"> </w:t>
                  </w:r>
                  <w:r>
                    <w:rPr>
                      <w:rFonts w:ascii="Times New Roman"/>
                      <w:color w:val="020202"/>
                      <w:sz w:val="16"/>
                      <w:u w:val="single" w:color="010101"/>
                    </w:rPr>
                    <w:tab/>
                  </w:r>
                  <w:r>
                    <w:rPr>
                      <w:rFonts w:ascii="Times New Roman"/>
                      <w:b/>
                      <w:i/>
                      <w:color w:val="020202"/>
                      <w:sz w:val="18"/>
                    </w:rPr>
                    <w:t xml:space="preserve">FAX completed </w:t>
                  </w:r>
                  <w:r>
                    <w:rPr>
                      <w:rFonts w:ascii="Times New Roman"/>
                      <w:b/>
                      <w:i/>
                      <w:color w:val="020202"/>
                      <w:spacing w:val="-3"/>
                      <w:sz w:val="18"/>
                    </w:rPr>
                    <w:t xml:space="preserve">form </w:t>
                  </w:r>
                  <w:r>
                    <w:rPr>
                      <w:rFonts w:ascii="Times New Roman"/>
                      <w:b/>
                      <w:i/>
                      <w:color w:val="020202"/>
                      <w:sz w:val="18"/>
                    </w:rPr>
                    <w:t>to</w:t>
                  </w:r>
                  <w:r>
                    <w:rPr>
                      <w:rFonts w:ascii="Times New Roman"/>
                      <w:b/>
                      <w:color w:val="020202"/>
                      <w:sz w:val="18"/>
                    </w:rPr>
                    <w:t xml:space="preserve">: </w:t>
                  </w:r>
                  <w:r>
                    <w:rPr>
                      <w:rFonts w:ascii="Times New Roman"/>
                      <w:b/>
                      <w:color w:val="020202"/>
                    </w:rPr>
                    <w:t>(347)</w:t>
                  </w:r>
                  <w:r>
                    <w:rPr>
                      <w:rFonts w:ascii="Times New Roman"/>
                      <w:b/>
                      <w:color w:val="020202"/>
                      <w:spacing w:val="-2"/>
                    </w:rPr>
                    <w:t xml:space="preserve"> </w:t>
                  </w:r>
                  <w:r>
                    <w:rPr>
                      <w:rFonts w:ascii="Times New Roman"/>
                      <w:b/>
                      <w:color w:val="020202"/>
                    </w:rPr>
                    <w:t>396-2559</w:t>
                  </w:r>
                </w:p>
              </w:txbxContent>
            </v:textbox>
            <w10:wrap anchorx="page" anchory="page"/>
          </v:shape>
        </w:pict>
      </w:r>
      <w:r>
        <w:pict>
          <v:shape id="_x0000_s1040" type="#_x0000_t202" style="position:absolute;margin-left:520.7pt;margin-top:770.35pt;width:70.85pt;height:8.75pt;z-index:-251781120;mso-position-horizontal-relative:page;mso-position-vertical-relative:page" filled="f" stroked="f">
            <v:textbox inset="0,0,0,0">
              <w:txbxContent>
                <w:p w:rsidR="007F0831" w:rsidRDefault="00BD1A1F">
                  <w:pPr>
                    <w:spacing w:before="16"/>
                    <w:ind w:left="20"/>
                    <w:rPr>
                      <w:rFonts w:ascii="Arial"/>
                      <w:sz w:val="12"/>
                    </w:rPr>
                  </w:pPr>
                  <w:r>
                    <w:rPr>
                      <w:rFonts w:ascii="Arial"/>
                      <w:sz w:val="12"/>
                    </w:rPr>
                    <w:t>Last updated: 01/22/2018</w:t>
                  </w:r>
                </w:p>
              </w:txbxContent>
            </v:textbox>
            <w10:wrap anchorx="page" anchory="page"/>
          </v:shape>
        </w:pict>
      </w:r>
      <w:r>
        <w:pict>
          <v:shape id="_x0000_s1038" type="#_x0000_t202" style="position:absolute;margin-left:268.1pt;margin-top:73.85pt;width:9.85pt;height:12pt;z-index:-251779072;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r>
        <w:pict>
          <v:shape id="_x0000_s1037" type="#_x0000_t202" style="position:absolute;margin-left:35.9pt;margin-top:607.8pt;width:92.8pt;height:12pt;z-index:-251778048;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r>
        <w:pict>
          <v:shape id="_x0000_s1036" type="#_x0000_t202" style="position:absolute;margin-left:347.9pt;margin-top:607.8pt;width:97.35pt;height:12pt;z-index:-251777024;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r>
        <w:pict>
          <v:shape id="_x0000_s1035" type="#_x0000_t202" style="position:absolute;margin-left:79.85pt;margin-top:634.35pt;width:97.5pt;height:12pt;z-index:-251776000;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r>
        <w:pict>
          <v:shape id="_x0000_s1034" type="#_x0000_t202" style="position:absolute;margin-left:139.05pt;margin-top:647.65pt;width:102.2pt;height:12pt;z-index:-251774976;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r>
        <w:pict>
          <v:shape id="_x0000_s1033" type="#_x0000_t202" style="position:absolute;margin-left:67.55pt;margin-top:685.4pt;width:77.35pt;height:12pt;z-index:-251773952;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r>
        <w:pict>
          <v:shape id="_x0000_s1032" type="#_x0000_t202" style="position:absolute;margin-left:195pt;margin-top:685.4pt;width:172.8pt;height:12pt;z-index:-251772928;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r>
        <w:pict>
          <v:shape id="_x0000_s1031" type="#_x0000_t202" style="position:absolute;margin-left:422.7pt;margin-top:685.4pt;width:151.95pt;height:12pt;z-index:-251771904;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r>
        <w:pict>
          <v:shape id="_x0000_s1030" type="#_x0000_t202" style="position:absolute;margin-left:76.85pt;margin-top:704.9pt;width:253.2pt;height:12pt;z-index:-251770880;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r>
        <w:pict>
          <v:shape id="_x0000_s1029" type="#_x0000_t202" style="position:absolute;margin-left:375.1pt;margin-top:704.9pt;width:198.1pt;height:12pt;z-index:-251769856;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r>
        <w:pict>
          <v:shape id="_x0000_s1028" type="#_x0000_t202" style="position:absolute;margin-left:71pt;margin-top:729.3pt;width:122.7pt;height:12pt;z-index:-251768832;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r>
        <w:pict>
          <v:shape id="_x0000_s1027" type="#_x0000_t202" style="position:absolute;margin-left:227.55pt;margin-top:729.3pt;width:78.15pt;height:12pt;z-index:-251767808;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r>
        <w:pict>
          <v:shape id="_x0000_s1026" type="#_x0000_t202" style="position:absolute;margin-left:328.25pt;margin-top:729.3pt;width:74.15pt;height:12pt;z-index:-251766784;mso-position-horizontal-relative:page;mso-position-vertical-relative:page" filled="f" stroked="f">
            <v:textbox inset="0,0,0,0">
              <w:txbxContent>
                <w:p w:rsidR="007F0831" w:rsidRDefault="007F0831">
                  <w:pPr>
                    <w:pStyle w:val="BodyText"/>
                    <w:rPr>
                      <w:rFonts w:ascii="Times New Roman"/>
                      <w:sz w:val="17"/>
                    </w:rPr>
                  </w:pPr>
                </w:p>
              </w:txbxContent>
            </v:textbox>
            <w10:wrap anchorx="page" anchory="page"/>
          </v:shape>
        </w:pict>
      </w:r>
    </w:p>
    <w:sectPr w:rsidR="007F0831">
      <w:type w:val="continuous"/>
      <w:pgSz w:w="12240" w:h="15840"/>
      <w:pgMar w:top="860" w:right="28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A11D9"/>
    <w:multiLevelType w:val="hybridMultilevel"/>
    <w:tmpl w:val="E4FADC4A"/>
    <w:lvl w:ilvl="0" w:tplc="B79A1B4C">
      <w:start w:val="1"/>
      <w:numFmt w:val="decimal"/>
      <w:lvlText w:val="%1."/>
      <w:lvlJc w:val="left"/>
      <w:pPr>
        <w:ind w:left="22" w:hanging="286"/>
        <w:jc w:val="left"/>
      </w:pPr>
      <w:rPr>
        <w:rFonts w:ascii="Segoe UI" w:eastAsia="Segoe UI" w:hAnsi="Segoe UI" w:cs="Segoe UI" w:hint="default"/>
        <w:spacing w:val="-3"/>
        <w:w w:val="100"/>
        <w:sz w:val="18"/>
        <w:szCs w:val="18"/>
        <w:lang w:val="en-US" w:eastAsia="en-US" w:bidi="en-US"/>
      </w:rPr>
    </w:lvl>
    <w:lvl w:ilvl="1" w:tplc="8C843F3E">
      <w:numFmt w:val="bullet"/>
      <w:lvlText w:val="•"/>
      <w:lvlJc w:val="left"/>
      <w:pPr>
        <w:ind w:left="1132" w:hanging="286"/>
      </w:pPr>
      <w:rPr>
        <w:rFonts w:hint="default"/>
        <w:lang w:val="en-US" w:eastAsia="en-US" w:bidi="en-US"/>
      </w:rPr>
    </w:lvl>
    <w:lvl w:ilvl="2" w:tplc="C198997A">
      <w:numFmt w:val="bullet"/>
      <w:lvlText w:val="•"/>
      <w:lvlJc w:val="left"/>
      <w:pPr>
        <w:ind w:left="2244" w:hanging="286"/>
      </w:pPr>
      <w:rPr>
        <w:rFonts w:hint="default"/>
        <w:lang w:val="en-US" w:eastAsia="en-US" w:bidi="en-US"/>
      </w:rPr>
    </w:lvl>
    <w:lvl w:ilvl="3" w:tplc="7B6C5F04">
      <w:numFmt w:val="bullet"/>
      <w:lvlText w:val="•"/>
      <w:lvlJc w:val="left"/>
      <w:pPr>
        <w:ind w:left="3356" w:hanging="286"/>
      </w:pPr>
      <w:rPr>
        <w:rFonts w:hint="default"/>
        <w:lang w:val="en-US" w:eastAsia="en-US" w:bidi="en-US"/>
      </w:rPr>
    </w:lvl>
    <w:lvl w:ilvl="4" w:tplc="A792F4DA">
      <w:numFmt w:val="bullet"/>
      <w:lvlText w:val="•"/>
      <w:lvlJc w:val="left"/>
      <w:pPr>
        <w:ind w:left="4469" w:hanging="286"/>
      </w:pPr>
      <w:rPr>
        <w:rFonts w:hint="default"/>
        <w:lang w:val="en-US" w:eastAsia="en-US" w:bidi="en-US"/>
      </w:rPr>
    </w:lvl>
    <w:lvl w:ilvl="5" w:tplc="FD6CE5D6">
      <w:numFmt w:val="bullet"/>
      <w:lvlText w:val="•"/>
      <w:lvlJc w:val="left"/>
      <w:pPr>
        <w:ind w:left="5581" w:hanging="286"/>
      </w:pPr>
      <w:rPr>
        <w:rFonts w:hint="default"/>
        <w:lang w:val="en-US" w:eastAsia="en-US" w:bidi="en-US"/>
      </w:rPr>
    </w:lvl>
    <w:lvl w:ilvl="6" w:tplc="E64226B4">
      <w:numFmt w:val="bullet"/>
      <w:lvlText w:val="•"/>
      <w:lvlJc w:val="left"/>
      <w:pPr>
        <w:ind w:left="6693" w:hanging="286"/>
      </w:pPr>
      <w:rPr>
        <w:rFonts w:hint="default"/>
        <w:lang w:val="en-US" w:eastAsia="en-US" w:bidi="en-US"/>
      </w:rPr>
    </w:lvl>
    <w:lvl w:ilvl="7" w:tplc="3336F8F8">
      <w:numFmt w:val="bullet"/>
      <w:lvlText w:val="•"/>
      <w:lvlJc w:val="left"/>
      <w:pPr>
        <w:ind w:left="7806" w:hanging="286"/>
      </w:pPr>
      <w:rPr>
        <w:rFonts w:hint="default"/>
        <w:lang w:val="en-US" w:eastAsia="en-US" w:bidi="en-US"/>
      </w:rPr>
    </w:lvl>
    <w:lvl w:ilvl="8" w:tplc="E0060522">
      <w:numFmt w:val="bullet"/>
      <w:lvlText w:val="•"/>
      <w:lvlJc w:val="left"/>
      <w:pPr>
        <w:ind w:left="8918" w:hanging="28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F0831"/>
    <w:rsid w:val="007F0831"/>
    <w:rsid w:val="00BD1A1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C198CAE3-FAB7-4252-BB44-8F67AD2E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Statement  (Vendor)</dc:title>
  <dc:creator>pschaeff</dc:creator>
  <cp:lastModifiedBy>MD SHAJEDUL ISLAM</cp:lastModifiedBy>
  <cp:revision>3</cp:revision>
  <dcterms:created xsi:type="dcterms:W3CDTF">2020-01-14T15:33:00Z</dcterms:created>
  <dcterms:modified xsi:type="dcterms:W3CDTF">2020-01-14T15:33:00Z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2014-03-19T00:00:00Z</vt:filetime>
  </property>
  <property fmtid="{D5CDD505-2E9C-101B-9397-08002B2CF9AE}" pid="3" name="Creator">
    <vt:lpwstr>Acrobat PDFMaker 10.1 for Word</vt:lpwstr>
  </property>
  <property fmtid="{D5CDD505-2E9C-101B-9397-08002B2CF9AE}" pid="4" name="LastSaved">
    <vt:filetime>2020-01-14T00:00:00Z</vt:filetime>
  </property>
</Properties>
</file>