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2" w:type="dxa"/>
        <w:tblLayout w:type="fixed"/>
        <w:tblCellMar>
          <w:left w:w="0" w:type="dxa"/>
          <w:right w:w="0" w:type="dxa"/>
        </w:tblCellMar>
        <w:tblLook w:val="0000" w:firstRow="0" w:lastRow="0" w:firstColumn="0" w:lastColumn="0" w:noHBand="0" w:noVBand="0"/>
      </w:tblPr>
      <w:tblGrid>
        <w:gridCol w:w="5269"/>
        <w:gridCol w:w="5028"/>
      </w:tblGrid>
      <w:tr w:rsidR="00000000">
        <w:tblPrEx>
          <w:tblCellMar>
            <w:top w:w="0" w:type="dxa"/>
            <w:left w:w="0" w:type="dxa"/>
            <w:bottom w:w="0" w:type="dxa"/>
            <w:right w:w="0" w:type="dxa"/>
          </w:tblCellMar>
        </w:tblPrEx>
        <w:trPr>
          <w:trHeight w:hRule="exact" w:val="900"/>
        </w:trPr>
        <w:tc>
          <w:tcPr>
            <w:tcW w:w="5269" w:type="dxa"/>
            <w:tcBorders>
              <w:top w:val="single" w:sz="4" w:space="0" w:color="000000"/>
              <w:left w:val="single" w:sz="4" w:space="0" w:color="000000"/>
              <w:bottom w:val="single" w:sz="4" w:space="0" w:color="000000"/>
              <w:right w:val="nil"/>
            </w:tcBorders>
            <w:shd w:val="clear" w:color="auto" w:fill="C0C0C0"/>
          </w:tcPr>
          <w:p w:rsidR="00000000" w:rsidRDefault="00560E8E">
            <w:pPr>
              <w:pStyle w:val="TableParagraph"/>
              <w:kinsoku w:val="0"/>
              <w:overflowPunct w:val="0"/>
              <w:spacing w:before="6"/>
              <w:rPr>
                <w:rFonts w:cs="Times New Roman"/>
                <w:sz w:val="26"/>
                <w:szCs w:val="26"/>
              </w:rPr>
            </w:pPr>
            <w:bookmarkStart w:id="0" w:name="_GoBack"/>
            <w:bookmarkEnd w:id="0"/>
          </w:p>
          <w:p w:rsidR="00000000" w:rsidRDefault="00560E8E">
            <w:pPr>
              <w:pStyle w:val="TableParagraph"/>
              <w:kinsoku w:val="0"/>
              <w:overflowPunct w:val="0"/>
              <w:ind w:left="1002"/>
            </w:pPr>
            <w:r>
              <w:rPr>
                <w:rFonts w:ascii="Arial" w:hAnsi="Arial" w:cs="Arial"/>
                <w:b/>
                <w:bCs/>
              </w:rPr>
              <w:t>ARBITRATION</w:t>
            </w:r>
            <w:r>
              <w:rPr>
                <w:rFonts w:ascii="Arial" w:hAnsi="Arial" w:cs="Arial"/>
                <w:b/>
                <w:bCs/>
                <w:spacing w:val="-4"/>
              </w:rPr>
              <w:t xml:space="preserve"> </w:t>
            </w:r>
            <w:r>
              <w:rPr>
                <w:rFonts w:ascii="Arial" w:hAnsi="Arial" w:cs="Arial"/>
                <w:b/>
                <w:bCs/>
              </w:rPr>
              <w:t>AGREEMENT</w:t>
            </w:r>
          </w:p>
        </w:tc>
        <w:tc>
          <w:tcPr>
            <w:tcW w:w="5028" w:type="dxa"/>
            <w:tcBorders>
              <w:top w:val="single" w:sz="4" w:space="0" w:color="000000"/>
              <w:left w:val="nil"/>
              <w:bottom w:val="single" w:sz="4" w:space="0" w:color="000000"/>
              <w:right w:val="single" w:sz="4" w:space="0" w:color="000000"/>
            </w:tcBorders>
            <w:shd w:val="clear" w:color="auto" w:fill="808080"/>
          </w:tcPr>
          <w:p w:rsidR="00000000" w:rsidRDefault="00560E8E">
            <w:pPr>
              <w:pStyle w:val="TableParagraph"/>
              <w:kinsoku w:val="0"/>
              <w:overflowPunct w:val="0"/>
              <w:spacing w:before="6"/>
              <w:rPr>
                <w:rFonts w:cs="Times New Roman"/>
                <w:sz w:val="26"/>
                <w:szCs w:val="26"/>
              </w:rPr>
            </w:pPr>
          </w:p>
          <w:p w:rsidR="00000000" w:rsidRDefault="00560E8E">
            <w:pPr>
              <w:pStyle w:val="TableParagraph"/>
              <w:kinsoku w:val="0"/>
              <w:overflowPunct w:val="0"/>
              <w:ind w:left="793"/>
            </w:pPr>
            <w:r>
              <w:rPr>
                <w:rFonts w:ascii="Arial" w:hAnsi="Arial" w:cs="Arial"/>
                <w:b/>
                <w:bCs/>
                <w:color w:val="FFFFFF"/>
              </w:rPr>
              <w:t>NONSUBSCRIBER</w:t>
            </w:r>
            <w:r>
              <w:rPr>
                <w:rFonts w:ascii="Arial" w:hAnsi="Arial" w:cs="Arial"/>
                <w:b/>
                <w:bCs/>
                <w:color w:val="FFFFFF"/>
                <w:spacing w:val="-3"/>
              </w:rPr>
              <w:t xml:space="preserve"> </w:t>
            </w:r>
            <w:r>
              <w:rPr>
                <w:rFonts w:ascii="Arial" w:hAnsi="Arial" w:cs="Arial"/>
                <w:b/>
                <w:bCs/>
                <w:color w:val="FFFFFF"/>
              </w:rPr>
              <w:t>PROGRAM</w:t>
            </w:r>
          </w:p>
        </w:tc>
      </w:tr>
    </w:tbl>
    <w:p w:rsidR="00000000" w:rsidRDefault="00560E8E">
      <w:pPr>
        <w:pStyle w:val="BodyText"/>
        <w:kinsoku w:val="0"/>
        <w:overflowPunct w:val="0"/>
        <w:spacing w:before="8"/>
        <w:ind w:left="0"/>
        <w:rPr>
          <w:sz w:val="18"/>
          <w:szCs w:val="18"/>
        </w:rPr>
      </w:pPr>
    </w:p>
    <w:p w:rsidR="00000000" w:rsidRDefault="00560E8E">
      <w:pPr>
        <w:pStyle w:val="BodyText"/>
        <w:kinsoku w:val="0"/>
        <w:overflowPunct w:val="0"/>
        <w:spacing w:before="59"/>
        <w:ind w:left="2283"/>
        <w:rPr>
          <w:rFonts w:ascii="Arial" w:hAnsi="Arial" w:cs="Arial"/>
          <w:sz w:val="32"/>
          <w:szCs w:val="32"/>
        </w:rPr>
      </w:pPr>
      <w:r>
        <w:rPr>
          <w:rFonts w:ascii="Arial" w:hAnsi="Arial" w:cs="Arial"/>
          <w:b/>
          <w:bCs/>
          <w:sz w:val="32"/>
          <w:szCs w:val="32"/>
          <w:u w:val="thick"/>
        </w:rPr>
        <w:t>MUTUAL AGREEMENT TO</w:t>
      </w:r>
      <w:r>
        <w:rPr>
          <w:rFonts w:ascii="Arial" w:hAnsi="Arial" w:cs="Arial"/>
          <w:b/>
          <w:bCs/>
          <w:spacing w:val="-1"/>
          <w:sz w:val="32"/>
          <w:szCs w:val="32"/>
          <w:u w:val="thick"/>
        </w:rPr>
        <w:t xml:space="preserve"> </w:t>
      </w:r>
      <w:r>
        <w:rPr>
          <w:rFonts w:ascii="Arial" w:hAnsi="Arial" w:cs="Arial"/>
          <w:b/>
          <w:bCs/>
          <w:sz w:val="32"/>
          <w:szCs w:val="32"/>
          <w:u w:val="thick"/>
        </w:rPr>
        <w:t>ARBITRATE</w:t>
      </w:r>
    </w:p>
    <w:p w:rsidR="00000000" w:rsidRDefault="00560E8E">
      <w:pPr>
        <w:pStyle w:val="BodyText"/>
        <w:kinsoku w:val="0"/>
        <w:overflowPunct w:val="0"/>
        <w:spacing w:before="0"/>
        <w:ind w:left="0"/>
        <w:rPr>
          <w:rFonts w:ascii="Arial" w:hAnsi="Arial" w:cs="Arial"/>
          <w:b/>
          <w:bCs/>
          <w:sz w:val="20"/>
          <w:szCs w:val="20"/>
        </w:rPr>
      </w:pPr>
    </w:p>
    <w:p w:rsidR="00000000" w:rsidRDefault="00560E8E">
      <w:pPr>
        <w:pStyle w:val="BodyText"/>
        <w:kinsoku w:val="0"/>
        <w:overflowPunct w:val="0"/>
        <w:spacing w:before="11"/>
        <w:ind w:left="0"/>
        <w:rPr>
          <w:rFonts w:ascii="Arial" w:hAnsi="Arial" w:cs="Arial"/>
          <w:b/>
          <w:bCs/>
          <w:sz w:val="21"/>
          <w:szCs w:val="21"/>
        </w:rPr>
      </w:pPr>
    </w:p>
    <w:p w:rsidR="00000000" w:rsidRDefault="00560E8E">
      <w:pPr>
        <w:pStyle w:val="Heading1"/>
        <w:numPr>
          <w:ilvl w:val="0"/>
          <w:numId w:val="3"/>
        </w:numPr>
        <w:tabs>
          <w:tab w:val="left" w:pos="868"/>
        </w:tabs>
        <w:kinsoku w:val="0"/>
        <w:overflowPunct w:val="0"/>
        <w:spacing w:before="69"/>
        <w:rPr>
          <w:b w:val="0"/>
          <w:bCs w:val="0"/>
          <w:u w:val="none"/>
        </w:rPr>
      </w:pPr>
      <w:r>
        <w:rPr>
          <w:u w:val="thick"/>
        </w:rPr>
        <w:t>Effective Date and Acceptance</w:t>
      </w:r>
      <w:r>
        <w:rPr>
          <w:spacing w:val="-5"/>
          <w:u w:val="thick"/>
        </w:rPr>
        <w:t xml:space="preserve"> </w:t>
      </w:r>
      <w:r>
        <w:rPr>
          <w:u w:val="thick"/>
        </w:rPr>
        <w:t>Date</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68" w:right="144"/>
        <w:jc w:val="both"/>
      </w:pPr>
      <w:r>
        <w:t xml:space="preserve">The effective date of this Mutual Agreement to Arbitrate Claims (“Agreement”) is December 31, 2012. If Claimant receives notice of this Agreement prior to commencing work at Company, </w:t>
      </w:r>
      <w:r>
        <w:t>Claimant’s commencement of work at Company shall constitute acceptance of the terms and conditions of this Agreement. In that situation, the date of Claimant’s commencement of work shall be the acceptance date. For any other Claimant, Claimant’s continuati</w:t>
      </w:r>
      <w:r>
        <w:t xml:space="preserve">on of work at  Company after three days have passed from the date Claimant receives notice of this Agreement shall constitute acceptance of the terms and conditions of this Agreement. In that situation, the fourth day after receipt of this notice shall be </w:t>
      </w:r>
      <w:r>
        <w:t>the acceptance</w:t>
      </w:r>
      <w:r>
        <w:rPr>
          <w:spacing w:val="-9"/>
        </w:rPr>
        <w:t xml:space="preserve"> </w:t>
      </w:r>
      <w:r>
        <w:t>date.</w:t>
      </w:r>
    </w:p>
    <w:p w:rsidR="00000000" w:rsidRDefault="00560E8E">
      <w:pPr>
        <w:pStyle w:val="BodyText"/>
        <w:kinsoku w:val="0"/>
        <w:overflowPunct w:val="0"/>
        <w:spacing w:before="0"/>
        <w:ind w:left="0"/>
      </w:pPr>
    </w:p>
    <w:p w:rsidR="00000000" w:rsidRDefault="00560E8E">
      <w:pPr>
        <w:pStyle w:val="BodyText"/>
        <w:kinsoku w:val="0"/>
        <w:overflowPunct w:val="0"/>
        <w:spacing w:before="0"/>
        <w:ind w:left="868" w:right="146"/>
        <w:jc w:val="both"/>
      </w:pPr>
      <w:r>
        <w:t>For Claimants who commence or continue employment at Company as of their respective acceptance date, Company and Claimant mutually agree to resolve Covered Claims which occur on or after the effective date according to the terms and c</w:t>
      </w:r>
      <w:r>
        <w:t>onditions of this</w:t>
      </w:r>
      <w:r>
        <w:rPr>
          <w:spacing w:val="-17"/>
        </w:rPr>
        <w:t xml:space="preserve"> </w:t>
      </w:r>
      <w:r>
        <w:t>Agreement.</w:t>
      </w:r>
    </w:p>
    <w:p w:rsidR="00000000" w:rsidRDefault="00560E8E">
      <w:pPr>
        <w:pStyle w:val="BodyText"/>
        <w:kinsoku w:val="0"/>
        <w:overflowPunct w:val="0"/>
        <w:spacing w:before="1"/>
        <w:ind w:left="0"/>
      </w:pPr>
    </w:p>
    <w:p w:rsidR="00000000" w:rsidRDefault="00560E8E">
      <w:pPr>
        <w:pStyle w:val="Heading1"/>
        <w:numPr>
          <w:ilvl w:val="0"/>
          <w:numId w:val="3"/>
        </w:numPr>
        <w:tabs>
          <w:tab w:val="left" w:pos="868"/>
        </w:tabs>
        <w:kinsoku w:val="0"/>
        <w:overflowPunct w:val="0"/>
        <w:rPr>
          <w:b w:val="0"/>
          <w:bCs w:val="0"/>
          <w:u w:val="none"/>
        </w:rPr>
      </w:pPr>
      <w:r>
        <w:rPr>
          <w:u w:val="thick"/>
        </w:rPr>
        <w:t>Definitions</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ListParagraph"/>
        <w:numPr>
          <w:ilvl w:val="1"/>
          <w:numId w:val="3"/>
        </w:numPr>
        <w:tabs>
          <w:tab w:val="left" w:pos="1589"/>
        </w:tabs>
        <w:kinsoku w:val="0"/>
        <w:overflowPunct w:val="0"/>
        <w:spacing w:before="69"/>
        <w:ind w:right="146" w:hanging="720"/>
        <w:jc w:val="both"/>
        <w:rPr>
          <w:rFonts w:cs="Times New Roman"/>
        </w:rPr>
      </w:pPr>
      <w:r>
        <w:rPr>
          <w:rFonts w:cs="Times New Roman"/>
          <w:b/>
          <w:bCs/>
        </w:rPr>
        <w:t>“</w:t>
      </w:r>
      <w:r>
        <w:rPr>
          <w:rFonts w:ascii="Arial" w:hAnsi="Arial" w:cs="Arial"/>
          <w:b/>
          <w:bCs/>
          <w:u w:val="thick"/>
        </w:rPr>
        <w:t>Company</w:t>
      </w:r>
      <w:r>
        <w:rPr>
          <w:rFonts w:cs="Times New Roman"/>
          <w:b/>
          <w:bCs/>
        </w:rPr>
        <w:t xml:space="preserve">” </w:t>
      </w:r>
      <w:r>
        <w:rPr>
          <w:rFonts w:cs="Times New Roman"/>
        </w:rPr>
        <w:t xml:space="preserve">means the entity(ies) and person(s) set forth on Schedule A which is attached hereto. The term “Company” also includes all employees, officers, directors, </w:t>
      </w:r>
      <w:r>
        <w:rPr>
          <w:rFonts w:cs="Times New Roman"/>
        </w:rPr>
        <w:t>agents, franchisors, franchisees, successors, representatives, predecessors, affiliated or related entities or companies of the entity(ies) and/or person(s) listed in Schedule A (other than</w:t>
      </w:r>
      <w:r>
        <w:rPr>
          <w:rFonts w:cs="Times New Roman"/>
          <w:spacing w:val="-1"/>
        </w:rPr>
        <w:t xml:space="preserve"> </w:t>
      </w:r>
      <w:r>
        <w:rPr>
          <w:rFonts w:cs="Times New Roman"/>
        </w:rPr>
        <w:t>Claimant).</w:t>
      </w:r>
    </w:p>
    <w:p w:rsidR="00000000" w:rsidRDefault="00560E8E">
      <w:pPr>
        <w:pStyle w:val="BodyText"/>
        <w:kinsoku w:val="0"/>
        <w:overflowPunct w:val="0"/>
        <w:spacing w:before="0"/>
        <w:ind w:left="0"/>
      </w:pPr>
    </w:p>
    <w:p w:rsidR="00000000" w:rsidRDefault="00560E8E">
      <w:pPr>
        <w:pStyle w:val="ListParagraph"/>
        <w:numPr>
          <w:ilvl w:val="1"/>
          <w:numId w:val="3"/>
        </w:numPr>
        <w:tabs>
          <w:tab w:val="left" w:pos="1589"/>
        </w:tabs>
        <w:kinsoku w:val="0"/>
        <w:overflowPunct w:val="0"/>
        <w:ind w:right="149" w:hanging="720"/>
        <w:jc w:val="both"/>
        <w:rPr>
          <w:rFonts w:cs="Times New Roman"/>
        </w:rPr>
      </w:pPr>
      <w:r>
        <w:rPr>
          <w:rFonts w:cs="Times New Roman"/>
          <w:b/>
          <w:bCs/>
        </w:rPr>
        <w:t>“</w:t>
      </w:r>
      <w:r>
        <w:rPr>
          <w:rFonts w:ascii="Arial" w:hAnsi="Arial" w:cs="Arial"/>
          <w:b/>
          <w:bCs/>
          <w:u w:val="thick"/>
        </w:rPr>
        <w:t>Claimant</w:t>
      </w:r>
      <w:r>
        <w:rPr>
          <w:rFonts w:cs="Times New Roman"/>
          <w:b/>
          <w:bCs/>
        </w:rPr>
        <w:t xml:space="preserve">” </w:t>
      </w:r>
      <w:r>
        <w:rPr>
          <w:rFonts w:cs="Times New Roman"/>
        </w:rPr>
        <w:t>means a person who is employed by Company a</w:t>
      </w:r>
      <w:r>
        <w:rPr>
          <w:rFonts w:cs="Times New Roman"/>
        </w:rPr>
        <w:t>nd has a Covered Claim.  The term also includes a Claimant’s spouse, children, parents, estate, successors and assigns.</w:t>
      </w:r>
    </w:p>
    <w:p w:rsidR="00000000" w:rsidRDefault="00560E8E">
      <w:pPr>
        <w:pStyle w:val="BodyText"/>
        <w:kinsoku w:val="0"/>
        <w:overflowPunct w:val="0"/>
        <w:spacing w:before="0"/>
        <w:ind w:left="0"/>
      </w:pPr>
    </w:p>
    <w:p w:rsidR="00000000" w:rsidRDefault="00560E8E">
      <w:pPr>
        <w:pStyle w:val="ListParagraph"/>
        <w:numPr>
          <w:ilvl w:val="1"/>
          <w:numId w:val="3"/>
        </w:numPr>
        <w:tabs>
          <w:tab w:val="left" w:pos="1589"/>
        </w:tabs>
        <w:kinsoku w:val="0"/>
        <w:overflowPunct w:val="0"/>
        <w:ind w:right="146" w:hanging="720"/>
        <w:jc w:val="both"/>
        <w:rPr>
          <w:rFonts w:cs="Times New Roman"/>
        </w:rPr>
      </w:pPr>
      <w:r>
        <w:rPr>
          <w:rFonts w:cs="Times New Roman"/>
          <w:b/>
          <w:bCs/>
        </w:rPr>
        <w:t>“</w:t>
      </w:r>
      <w:r>
        <w:rPr>
          <w:rFonts w:ascii="Arial" w:hAnsi="Arial" w:cs="Arial"/>
          <w:b/>
          <w:bCs/>
          <w:u w:val="thick"/>
        </w:rPr>
        <w:t>Course and Scope of Employment</w:t>
      </w:r>
      <w:r>
        <w:rPr>
          <w:rFonts w:cs="Times New Roman"/>
          <w:b/>
          <w:bCs/>
        </w:rPr>
        <w:t xml:space="preserve">” </w:t>
      </w:r>
      <w:r>
        <w:rPr>
          <w:rFonts w:cs="Times New Roman"/>
        </w:rPr>
        <w:t>means an activity of any kind or character that has to do with or originates in the work, business, tr</w:t>
      </w:r>
      <w:r>
        <w:rPr>
          <w:rFonts w:cs="Times New Roman"/>
        </w:rPr>
        <w:t>ade, or profession of Company and that is performed by Claimant while engaged in or about the furtherance of the affairs or business of Company. The term includes an activity conducted on the premises of Company or at other</w:t>
      </w:r>
      <w:r>
        <w:rPr>
          <w:rFonts w:cs="Times New Roman"/>
          <w:spacing w:val="-3"/>
        </w:rPr>
        <w:t xml:space="preserve"> </w:t>
      </w:r>
      <w:r>
        <w:rPr>
          <w:rFonts w:cs="Times New Roman"/>
        </w:rPr>
        <w:t>locations.</w:t>
      </w:r>
    </w:p>
    <w:p w:rsidR="00000000" w:rsidRDefault="00560E8E">
      <w:pPr>
        <w:pStyle w:val="BodyText"/>
        <w:kinsoku w:val="0"/>
        <w:overflowPunct w:val="0"/>
        <w:spacing w:before="0"/>
        <w:ind w:left="0"/>
      </w:pPr>
    </w:p>
    <w:p w:rsidR="00000000" w:rsidRDefault="00560E8E">
      <w:pPr>
        <w:pStyle w:val="ListParagraph"/>
        <w:numPr>
          <w:ilvl w:val="1"/>
          <w:numId w:val="3"/>
        </w:numPr>
        <w:tabs>
          <w:tab w:val="left" w:pos="1589"/>
        </w:tabs>
        <w:kinsoku w:val="0"/>
        <w:overflowPunct w:val="0"/>
        <w:ind w:right="147" w:hanging="720"/>
        <w:jc w:val="both"/>
        <w:rPr>
          <w:rFonts w:cs="Times New Roman"/>
        </w:rPr>
      </w:pPr>
      <w:r>
        <w:rPr>
          <w:rFonts w:cs="Times New Roman"/>
          <w:spacing w:val="-60"/>
          <w:u w:val="thick"/>
        </w:rPr>
        <w:t xml:space="preserve"> </w:t>
      </w:r>
      <w:r>
        <w:rPr>
          <w:rFonts w:cs="Times New Roman"/>
          <w:b/>
          <w:bCs/>
          <w:u w:val="thick"/>
        </w:rPr>
        <w:t>“</w:t>
      </w:r>
      <w:r>
        <w:rPr>
          <w:rFonts w:ascii="Arial" w:hAnsi="Arial" w:cs="Arial"/>
          <w:b/>
          <w:bCs/>
          <w:u w:val="thick"/>
        </w:rPr>
        <w:t>Covered Claim</w:t>
      </w:r>
      <w:r>
        <w:rPr>
          <w:rFonts w:cs="Times New Roman"/>
          <w:b/>
          <w:bCs/>
          <w:u w:val="thick"/>
        </w:rPr>
        <w:t xml:space="preserve">” or </w:t>
      </w:r>
      <w:r>
        <w:rPr>
          <w:rFonts w:cs="Times New Roman"/>
          <w:b/>
          <w:bCs/>
          <w:u w:val="thick"/>
        </w:rPr>
        <w:t>“</w:t>
      </w:r>
      <w:r>
        <w:rPr>
          <w:rFonts w:ascii="Arial" w:hAnsi="Arial" w:cs="Arial"/>
          <w:b/>
          <w:bCs/>
          <w:u w:val="thick"/>
        </w:rPr>
        <w:t>Covered Claims</w:t>
      </w:r>
      <w:r>
        <w:rPr>
          <w:rFonts w:cs="Times New Roman"/>
          <w:b/>
          <w:bCs/>
        </w:rPr>
        <w:t xml:space="preserve">” </w:t>
      </w:r>
      <w:r>
        <w:rPr>
          <w:rFonts w:cs="Times New Roman"/>
        </w:rPr>
        <w:t>means any and all claims included or described in Paragraph 5(a) of this</w:t>
      </w:r>
      <w:r>
        <w:rPr>
          <w:rFonts w:cs="Times New Roman"/>
          <w:spacing w:val="-11"/>
        </w:rPr>
        <w:t xml:space="preserve"> </w:t>
      </w:r>
      <w:r>
        <w:rPr>
          <w:rFonts w:cs="Times New Roman"/>
        </w:rPr>
        <w:t>Agreement.</w:t>
      </w:r>
    </w:p>
    <w:p w:rsidR="00000000" w:rsidRDefault="00560E8E">
      <w:pPr>
        <w:pStyle w:val="BodyText"/>
        <w:kinsoku w:val="0"/>
        <w:overflowPunct w:val="0"/>
        <w:spacing w:before="1"/>
        <w:ind w:left="0"/>
      </w:pPr>
    </w:p>
    <w:p w:rsidR="00000000" w:rsidRDefault="00560E8E">
      <w:pPr>
        <w:pStyle w:val="Heading1"/>
        <w:numPr>
          <w:ilvl w:val="0"/>
          <w:numId w:val="3"/>
        </w:numPr>
        <w:tabs>
          <w:tab w:val="left" w:pos="868"/>
        </w:tabs>
        <w:kinsoku w:val="0"/>
        <w:overflowPunct w:val="0"/>
        <w:rPr>
          <w:b w:val="0"/>
          <w:bCs w:val="0"/>
          <w:u w:val="none"/>
        </w:rPr>
      </w:pPr>
      <w:r>
        <w:rPr>
          <w:u w:val="thick"/>
        </w:rPr>
        <w:t>Federal Arbitration Act</w:t>
      </w:r>
      <w:r>
        <w:rPr>
          <w:spacing w:val="-4"/>
          <w:u w:val="thick"/>
        </w:rPr>
        <w:t xml:space="preserve"> </w:t>
      </w:r>
      <w:r>
        <w:rPr>
          <w:u w:val="thick"/>
        </w:rPr>
        <w:t>Applies</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68"/>
      </w:pPr>
      <w:r>
        <w:t>Company is engaged in “commerce” as that term is defined in Section 1 of the Federal Arbitration Act (“FAA”</w:t>
      </w:r>
      <w:r>
        <w:t>).  The FAA governs all aspects of this</w:t>
      </w:r>
      <w:r>
        <w:rPr>
          <w:spacing w:val="-8"/>
        </w:rPr>
        <w:t xml:space="preserve"> </w:t>
      </w:r>
      <w:r>
        <w:t>Agreement.</w:t>
      </w:r>
    </w:p>
    <w:p w:rsidR="00000000" w:rsidRDefault="00560E8E">
      <w:pPr>
        <w:pStyle w:val="BodyText"/>
        <w:kinsoku w:val="0"/>
        <w:overflowPunct w:val="0"/>
        <w:ind w:left="868"/>
        <w:sectPr w:rsidR="00000000">
          <w:footerReference w:type="default" r:id="rId7"/>
          <w:pgSz w:w="12240" w:h="15840"/>
          <w:pgMar w:top="720" w:right="860" w:bottom="760" w:left="860" w:header="0" w:footer="565" w:gutter="0"/>
          <w:pgNumType w:start="1"/>
          <w:cols w:space="720"/>
          <w:noEndnote/>
        </w:sectPr>
      </w:pPr>
    </w:p>
    <w:p w:rsidR="00000000" w:rsidRDefault="00560E8E">
      <w:pPr>
        <w:pStyle w:val="Heading1"/>
        <w:numPr>
          <w:ilvl w:val="0"/>
          <w:numId w:val="3"/>
        </w:numPr>
        <w:tabs>
          <w:tab w:val="left" w:pos="828"/>
        </w:tabs>
        <w:kinsoku w:val="0"/>
        <w:overflowPunct w:val="0"/>
        <w:spacing w:before="58"/>
        <w:ind w:left="828"/>
        <w:rPr>
          <w:b w:val="0"/>
          <w:bCs w:val="0"/>
          <w:u w:val="none"/>
        </w:rPr>
      </w:pPr>
      <w:r>
        <w:rPr>
          <w:u w:val="thick"/>
        </w:rPr>
        <w:lastRenderedPageBreak/>
        <w:t>Arbitration is Mandatory for Covered</w:t>
      </w:r>
      <w:r>
        <w:rPr>
          <w:spacing w:val="-6"/>
          <w:u w:val="thick"/>
        </w:rPr>
        <w:t xml:space="preserve"> </w:t>
      </w:r>
      <w:r>
        <w:rPr>
          <w:u w:val="thick"/>
        </w:rPr>
        <w:t>Claims</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28" w:right="109"/>
        <w:jc w:val="both"/>
      </w:pPr>
      <w:r>
        <w:t>Covered Claims shall be exclusively resolved by binding arbitration. While both Claimant and Company retain all substantive legal rights and remedies under this Agreement, Claimant and Company are both waiving all rights which either may have with regard t</w:t>
      </w:r>
      <w:r>
        <w:t>o trial, whether jury or non-jury, in state or federal court for any Covered</w:t>
      </w:r>
      <w:r>
        <w:rPr>
          <w:spacing w:val="-12"/>
        </w:rPr>
        <w:t xml:space="preserve"> </w:t>
      </w:r>
      <w:r>
        <w:t>Claim.</w:t>
      </w:r>
    </w:p>
    <w:p w:rsidR="00000000" w:rsidRDefault="00560E8E">
      <w:pPr>
        <w:pStyle w:val="BodyText"/>
        <w:kinsoku w:val="0"/>
        <w:overflowPunct w:val="0"/>
        <w:spacing w:before="1"/>
        <w:ind w:left="0"/>
      </w:pPr>
    </w:p>
    <w:p w:rsidR="00000000" w:rsidRDefault="00560E8E">
      <w:pPr>
        <w:pStyle w:val="Heading1"/>
        <w:numPr>
          <w:ilvl w:val="0"/>
          <w:numId w:val="3"/>
        </w:numPr>
        <w:tabs>
          <w:tab w:val="left" w:pos="828"/>
        </w:tabs>
        <w:kinsoku w:val="0"/>
        <w:overflowPunct w:val="0"/>
        <w:ind w:left="828"/>
        <w:rPr>
          <w:b w:val="0"/>
          <w:bCs w:val="0"/>
          <w:u w:val="none"/>
        </w:rPr>
      </w:pPr>
      <w:r>
        <w:rPr>
          <w:u w:val="thick"/>
        </w:rPr>
        <w:t>Scope of Arbitration</w:t>
      </w:r>
      <w:r>
        <w:rPr>
          <w:spacing w:val="-6"/>
          <w:u w:val="thick"/>
        </w:rPr>
        <w:t xml:space="preserve"> </w:t>
      </w:r>
      <w:r>
        <w:rPr>
          <w:u w:val="thick"/>
        </w:rPr>
        <w:t>Agreement</w:t>
      </w:r>
    </w:p>
    <w:p w:rsidR="00000000" w:rsidRDefault="00560E8E">
      <w:pPr>
        <w:pStyle w:val="BodyText"/>
        <w:kinsoku w:val="0"/>
        <w:overflowPunct w:val="0"/>
        <w:spacing w:before="1"/>
        <w:ind w:left="0"/>
        <w:rPr>
          <w:rFonts w:ascii="Arial" w:hAnsi="Arial" w:cs="Arial"/>
          <w:b/>
          <w:bCs/>
          <w:sz w:val="18"/>
          <w:szCs w:val="18"/>
        </w:rPr>
      </w:pPr>
    </w:p>
    <w:p w:rsidR="00000000" w:rsidRDefault="00560E8E">
      <w:pPr>
        <w:pStyle w:val="ListParagraph"/>
        <w:numPr>
          <w:ilvl w:val="1"/>
          <w:numId w:val="3"/>
        </w:numPr>
        <w:tabs>
          <w:tab w:val="left" w:pos="1549"/>
        </w:tabs>
        <w:kinsoku w:val="0"/>
        <w:overflowPunct w:val="0"/>
        <w:spacing w:before="69"/>
        <w:ind w:left="1548" w:hanging="720"/>
        <w:rPr>
          <w:rFonts w:ascii="Arial" w:hAnsi="Arial" w:cs="Arial"/>
          <w:sz w:val="20"/>
          <w:szCs w:val="20"/>
        </w:rPr>
      </w:pPr>
      <w:r>
        <w:rPr>
          <w:rFonts w:ascii="Arial" w:hAnsi="Arial" w:cs="Arial"/>
          <w:b/>
          <w:bCs/>
          <w:sz w:val="20"/>
          <w:szCs w:val="20"/>
          <w:u w:val="thick"/>
        </w:rPr>
        <w:t>Claims Covered by This</w:t>
      </w:r>
      <w:r>
        <w:rPr>
          <w:rFonts w:ascii="Arial" w:hAnsi="Arial" w:cs="Arial"/>
          <w:b/>
          <w:bCs/>
          <w:spacing w:val="-5"/>
          <w:sz w:val="20"/>
          <w:szCs w:val="20"/>
          <w:u w:val="thick"/>
        </w:rPr>
        <w:t xml:space="preserve"> </w:t>
      </w:r>
      <w:r>
        <w:rPr>
          <w:rFonts w:ascii="Arial" w:hAnsi="Arial" w:cs="Arial"/>
          <w:b/>
          <w:bCs/>
          <w:sz w:val="20"/>
          <w:szCs w:val="20"/>
          <w:u w:val="thick"/>
        </w:rPr>
        <w:t>Agreement</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9"/>
        <w:jc w:val="both"/>
      </w:pPr>
      <w:r>
        <w:t>This Agreement is mutual, covering all claims that Company or Claimant may have which arise from: Any injury suffered by Claimant while in the Course and Scope of Claimant’s employment with Company, including but not limited to, claims for negligence, gros</w:t>
      </w:r>
      <w:r>
        <w:t xml:space="preserve">s negligence, and all claims for personal injuries, physical impairment, disfigurement, pain and suffering, mental anguish, wrongful death, survival actions, loss of consortium and/or services, medical and hospital expenses, expenses of transportation for </w:t>
      </w:r>
      <w:r>
        <w:t>medical treatment, expenses of drugs and medical appliances, emotional distress, exemplary or punitive damages and any other loss, detriment or claim of whatever kind and</w:t>
      </w:r>
      <w:r>
        <w:rPr>
          <w:spacing w:val="-18"/>
        </w:rPr>
        <w:t xml:space="preserve"> </w:t>
      </w:r>
      <w:r>
        <w:t>character.</w:t>
      </w:r>
    </w:p>
    <w:p w:rsidR="00000000" w:rsidRDefault="00560E8E">
      <w:pPr>
        <w:pStyle w:val="BodyText"/>
        <w:kinsoku w:val="0"/>
        <w:overflowPunct w:val="0"/>
        <w:spacing w:before="2"/>
        <w:ind w:left="0"/>
      </w:pPr>
    </w:p>
    <w:p w:rsidR="00000000" w:rsidRDefault="00560E8E">
      <w:pPr>
        <w:pStyle w:val="ListParagraph"/>
        <w:numPr>
          <w:ilvl w:val="0"/>
          <w:numId w:val="2"/>
        </w:numPr>
        <w:tabs>
          <w:tab w:val="left" w:pos="1549"/>
        </w:tabs>
        <w:kinsoku w:val="0"/>
        <w:overflowPunct w:val="0"/>
        <w:ind w:hanging="720"/>
        <w:rPr>
          <w:rFonts w:ascii="Arial" w:hAnsi="Arial" w:cs="Arial"/>
          <w:sz w:val="20"/>
          <w:szCs w:val="20"/>
        </w:rPr>
      </w:pPr>
      <w:r>
        <w:rPr>
          <w:rFonts w:ascii="Arial" w:hAnsi="Arial" w:cs="Arial"/>
          <w:b/>
          <w:bCs/>
          <w:sz w:val="20"/>
          <w:szCs w:val="20"/>
          <w:u w:val="thick"/>
        </w:rPr>
        <w:t>Claims Not Covered by This</w:t>
      </w:r>
      <w:r>
        <w:rPr>
          <w:rFonts w:ascii="Arial" w:hAnsi="Arial" w:cs="Arial"/>
          <w:b/>
          <w:bCs/>
          <w:spacing w:val="-3"/>
          <w:sz w:val="20"/>
          <w:szCs w:val="20"/>
          <w:u w:val="thick"/>
        </w:rPr>
        <w:t xml:space="preserve"> </w:t>
      </w:r>
      <w:r>
        <w:rPr>
          <w:rFonts w:ascii="Arial" w:hAnsi="Arial" w:cs="Arial"/>
          <w:b/>
          <w:bCs/>
          <w:sz w:val="20"/>
          <w:szCs w:val="20"/>
          <w:u w:val="thick"/>
        </w:rPr>
        <w:t>Agreement</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This agreement does not apply</w:t>
      </w:r>
      <w:r>
        <w:rPr>
          <w:spacing w:val="-7"/>
        </w:rPr>
        <w:t xml:space="preserve"> </w:t>
      </w:r>
      <w:r>
        <w:t>to:</w:t>
      </w:r>
    </w:p>
    <w:p w:rsidR="00000000" w:rsidRDefault="00560E8E">
      <w:pPr>
        <w:pStyle w:val="BodyText"/>
        <w:kinsoku w:val="0"/>
        <w:overflowPunct w:val="0"/>
        <w:spacing w:before="0"/>
        <w:ind w:left="0"/>
      </w:pPr>
    </w:p>
    <w:p w:rsidR="00000000" w:rsidRDefault="00560E8E">
      <w:pPr>
        <w:pStyle w:val="ListParagraph"/>
        <w:numPr>
          <w:ilvl w:val="1"/>
          <w:numId w:val="2"/>
        </w:numPr>
        <w:tabs>
          <w:tab w:val="left" w:pos="2269"/>
        </w:tabs>
        <w:kinsoku w:val="0"/>
        <w:overflowPunct w:val="0"/>
        <w:rPr>
          <w:rFonts w:cs="Times New Roman"/>
        </w:rPr>
      </w:pPr>
      <w:r>
        <w:rPr>
          <w:rFonts w:cs="Times New Roman"/>
        </w:rPr>
        <w:t>Claims for benefits under the Company’s Employee Injury Benefit</w:t>
      </w:r>
      <w:r>
        <w:rPr>
          <w:rFonts w:cs="Times New Roman"/>
          <w:spacing w:val="-9"/>
        </w:rPr>
        <w:t xml:space="preserve"> </w:t>
      </w:r>
      <w:r>
        <w:rPr>
          <w:rFonts w:cs="Times New Roman"/>
        </w:rPr>
        <w:t>Plan;</w:t>
      </w:r>
    </w:p>
    <w:p w:rsidR="00000000" w:rsidRDefault="00560E8E">
      <w:pPr>
        <w:pStyle w:val="BodyText"/>
        <w:kinsoku w:val="0"/>
        <w:overflowPunct w:val="0"/>
        <w:spacing w:before="0"/>
        <w:ind w:left="0"/>
      </w:pPr>
    </w:p>
    <w:p w:rsidR="00000000" w:rsidRDefault="00560E8E">
      <w:pPr>
        <w:pStyle w:val="ListParagraph"/>
        <w:numPr>
          <w:ilvl w:val="1"/>
          <w:numId w:val="2"/>
        </w:numPr>
        <w:tabs>
          <w:tab w:val="left" w:pos="2269"/>
        </w:tabs>
        <w:kinsoku w:val="0"/>
        <w:overflowPunct w:val="0"/>
        <w:ind w:right="106"/>
        <w:rPr>
          <w:rFonts w:cs="Times New Roman"/>
        </w:rPr>
      </w:pPr>
      <w:r>
        <w:rPr>
          <w:rFonts w:cs="Times New Roman"/>
        </w:rPr>
        <w:t>Workers’ Compensation Benefits under the Texas Workers’ Compensation Act or any other state or federal</w:t>
      </w:r>
      <w:r>
        <w:rPr>
          <w:rFonts w:cs="Times New Roman"/>
          <w:spacing w:val="-5"/>
        </w:rPr>
        <w:t xml:space="preserve"> </w:t>
      </w:r>
      <w:r>
        <w:rPr>
          <w:rFonts w:cs="Times New Roman"/>
        </w:rPr>
        <w:t>law;</w:t>
      </w:r>
    </w:p>
    <w:p w:rsidR="00000000" w:rsidRDefault="00560E8E">
      <w:pPr>
        <w:pStyle w:val="BodyText"/>
        <w:kinsoku w:val="0"/>
        <w:overflowPunct w:val="0"/>
        <w:spacing w:before="0"/>
        <w:ind w:left="0"/>
      </w:pPr>
    </w:p>
    <w:p w:rsidR="00000000" w:rsidRDefault="00560E8E">
      <w:pPr>
        <w:pStyle w:val="ListParagraph"/>
        <w:numPr>
          <w:ilvl w:val="1"/>
          <w:numId w:val="2"/>
        </w:numPr>
        <w:tabs>
          <w:tab w:val="left" w:pos="2269"/>
        </w:tabs>
        <w:kinsoku w:val="0"/>
        <w:overflowPunct w:val="0"/>
        <w:ind w:right="109"/>
        <w:jc w:val="both"/>
        <w:rPr>
          <w:rFonts w:cs="Times New Roman"/>
        </w:rPr>
      </w:pPr>
      <w:r>
        <w:rPr>
          <w:rFonts w:cs="Times New Roman"/>
        </w:rPr>
        <w:t>Claims based upon Company’</w:t>
      </w:r>
      <w:r>
        <w:rPr>
          <w:rFonts w:cs="Times New Roman"/>
        </w:rPr>
        <w:t>s pension or benefit plan that contains an arbitration or other non-judicial resolution procedure, in which case the provisions of that plan shall</w:t>
      </w:r>
      <w:r>
        <w:rPr>
          <w:rFonts w:cs="Times New Roman"/>
          <w:spacing w:val="-1"/>
        </w:rPr>
        <w:t xml:space="preserve"> </w:t>
      </w:r>
      <w:r>
        <w:rPr>
          <w:rFonts w:cs="Times New Roman"/>
        </w:rPr>
        <w:t>apply;</w:t>
      </w:r>
    </w:p>
    <w:p w:rsidR="00000000" w:rsidRDefault="00560E8E">
      <w:pPr>
        <w:pStyle w:val="BodyText"/>
        <w:kinsoku w:val="0"/>
        <w:overflowPunct w:val="0"/>
        <w:spacing w:before="0"/>
        <w:ind w:left="0"/>
      </w:pPr>
    </w:p>
    <w:p w:rsidR="00000000" w:rsidRDefault="00560E8E">
      <w:pPr>
        <w:pStyle w:val="ListParagraph"/>
        <w:numPr>
          <w:ilvl w:val="1"/>
          <w:numId w:val="2"/>
        </w:numPr>
        <w:tabs>
          <w:tab w:val="left" w:pos="2269"/>
        </w:tabs>
        <w:kinsoku w:val="0"/>
        <w:overflowPunct w:val="0"/>
        <w:ind w:right="111"/>
        <w:rPr>
          <w:rFonts w:cs="Times New Roman"/>
        </w:rPr>
      </w:pPr>
      <w:r>
        <w:rPr>
          <w:rFonts w:cs="Times New Roman"/>
        </w:rPr>
        <w:t>Claims covered by a collective bargaining agreement, in which case the terms, conditions and procedur</w:t>
      </w:r>
      <w:r>
        <w:rPr>
          <w:rFonts w:cs="Times New Roman"/>
        </w:rPr>
        <w:t>es of that collective bargaining agreement shall</w:t>
      </w:r>
      <w:r>
        <w:rPr>
          <w:rFonts w:cs="Times New Roman"/>
          <w:spacing w:val="-12"/>
        </w:rPr>
        <w:t xml:space="preserve"> </w:t>
      </w:r>
      <w:r>
        <w:rPr>
          <w:rFonts w:cs="Times New Roman"/>
        </w:rPr>
        <w:t>control.</w:t>
      </w:r>
    </w:p>
    <w:p w:rsidR="00000000" w:rsidRDefault="00560E8E">
      <w:pPr>
        <w:pStyle w:val="BodyText"/>
        <w:kinsoku w:val="0"/>
        <w:overflowPunct w:val="0"/>
        <w:spacing w:before="0"/>
        <w:ind w:left="0"/>
      </w:pPr>
    </w:p>
    <w:p w:rsidR="00000000" w:rsidRDefault="00560E8E">
      <w:pPr>
        <w:pStyle w:val="ListParagraph"/>
        <w:numPr>
          <w:ilvl w:val="1"/>
          <w:numId w:val="2"/>
        </w:numPr>
        <w:tabs>
          <w:tab w:val="left" w:pos="2269"/>
        </w:tabs>
        <w:kinsoku w:val="0"/>
        <w:overflowPunct w:val="0"/>
        <w:rPr>
          <w:rFonts w:cs="Times New Roman"/>
        </w:rPr>
      </w:pPr>
      <w:r>
        <w:rPr>
          <w:rFonts w:cs="Times New Roman"/>
        </w:rPr>
        <w:t>Claims for Unemployment Compensation</w:t>
      </w:r>
      <w:r>
        <w:rPr>
          <w:rFonts w:cs="Times New Roman"/>
          <w:spacing w:val="-9"/>
        </w:rPr>
        <w:t xml:space="preserve"> </w:t>
      </w:r>
      <w:r>
        <w:rPr>
          <w:rFonts w:cs="Times New Roman"/>
        </w:rPr>
        <w:t>Benefits.</w:t>
      </w:r>
    </w:p>
    <w:p w:rsidR="00000000" w:rsidRDefault="00560E8E">
      <w:pPr>
        <w:pStyle w:val="BodyText"/>
        <w:kinsoku w:val="0"/>
        <w:overflowPunct w:val="0"/>
        <w:spacing w:before="0"/>
        <w:ind w:left="0"/>
      </w:pPr>
    </w:p>
    <w:p w:rsidR="00000000" w:rsidRDefault="00560E8E">
      <w:pPr>
        <w:pStyle w:val="BodyText"/>
        <w:kinsoku w:val="0"/>
        <w:overflowPunct w:val="0"/>
        <w:spacing w:before="0"/>
        <w:ind w:right="107"/>
      </w:pPr>
      <w:r>
        <w:t xml:space="preserve">Nothing in this Agreement precludes the parties from agreeing to resolve claims that are otherwise not covered by this Agreement the same as if they </w:t>
      </w:r>
      <w:r>
        <w:t>were Covered</w:t>
      </w:r>
      <w:r>
        <w:rPr>
          <w:spacing w:val="-13"/>
        </w:rPr>
        <w:t xml:space="preserve"> </w:t>
      </w:r>
      <w:r>
        <w:t>Claims.</w:t>
      </w:r>
    </w:p>
    <w:p w:rsidR="00000000" w:rsidRDefault="00560E8E">
      <w:pPr>
        <w:pStyle w:val="BodyText"/>
        <w:kinsoku w:val="0"/>
        <w:overflowPunct w:val="0"/>
        <w:spacing w:before="2"/>
        <w:ind w:left="0"/>
      </w:pPr>
    </w:p>
    <w:p w:rsidR="00000000" w:rsidRDefault="00560E8E">
      <w:pPr>
        <w:pStyle w:val="BodyText"/>
        <w:tabs>
          <w:tab w:val="left" w:pos="1548"/>
        </w:tabs>
        <w:kinsoku w:val="0"/>
        <w:overflowPunct w:val="0"/>
        <w:spacing w:before="0"/>
        <w:ind w:left="828" w:right="107"/>
        <w:rPr>
          <w:rFonts w:ascii="Arial" w:hAnsi="Arial" w:cs="Arial"/>
          <w:sz w:val="20"/>
          <w:szCs w:val="20"/>
        </w:rPr>
      </w:pPr>
      <w:r>
        <w:rPr>
          <w:b/>
          <w:bCs/>
        </w:rPr>
        <w:t>c.</w:t>
      </w:r>
      <w:r>
        <w:rPr>
          <w:b/>
          <w:bCs/>
        </w:rPr>
        <w:tab/>
      </w:r>
      <w:r>
        <w:rPr>
          <w:rFonts w:ascii="Arial" w:hAnsi="Arial" w:cs="Arial"/>
          <w:b/>
          <w:bCs/>
          <w:sz w:val="20"/>
          <w:szCs w:val="20"/>
          <w:u w:val="thick"/>
        </w:rPr>
        <w:t>Arbitrability of Particular</w:t>
      </w:r>
      <w:r>
        <w:rPr>
          <w:rFonts w:ascii="Arial" w:hAnsi="Arial" w:cs="Arial"/>
          <w:b/>
          <w:bCs/>
          <w:spacing w:val="-2"/>
          <w:sz w:val="20"/>
          <w:szCs w:val="20"/>
          <w:u w:val="thick"/>
        </w:rPr>
        <w:t xml:space="preserve"> </w:t>
      </w:r>
      <w:r>
        <w:rPr>
          <w:rFonts w:ascii="Arial" w:hAnsi="Arial" w:cs="Arial"/>
          <w:b/>
          <w:bCs/>
          <w:sz w:val="20"/>
          <w:szCs w:val="20"/>
          <w:u w:val="thick"/>
        </w:rPr>
        <w:t>Dispute</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Any question as to the arbitrability of any particular claim shall be arbitrated pursuant to the procedures set forth in this</w:t>
      </w:r>
      <w:r>
        <w:rPr>
          <w:spacing w:val="-9"/>
        </w:rPr>
        <w:t xml:space="preserve"> </w:t>
      </w:r>
      <w:r>
        <w:t>Agreement.</w:t>
      </w:r>
    </w:p>
    <w:p w:rsidR="00000000" w:rsidRDefault="00560E8E">
      <w:pPr>
        <w:pStyle w:val="BodyText"/>
        <w:kinsoku w:val="0"/>
        <w:overflowPunct w:val="0"/>
        <w:ind w:right="107"/>
        <w:sectPr w:rsidR="00000000">
          <w:footerReference w:type="default" r:id="rId8"/>
          <w:pgSz w:w="12240" w:h="15840"/>
          <w:pgMar w:top="1380" w:right="900" w:bottom="740" w:left="900" w:header="0" w:footer="560" w:gutter="0"/>
          <w:pgNumType w:start="6082"/>
          <w:cols w:space="720" w:equalWidth="0">
            <w:col w:w="10440"/>
          </w:cols>
          <w:noEndnote/>
        </w:sectPr>
      </w:pPr>
    </w:p>
    <w:p w:rsidR="00000000" w:rsidRDefault="00560E8E">
      <w:pPr>
        <w:pStyle w:val="Heading1"/>
        <w:numPr>
          <w:ilvl w:val="0"/>
          <w:numId w:val="3"/>
        </w:numPr>
        <w:tabs>
          <w:tab w:val="left" w:pos="828"/>
        </w:tabs>
        <w:kinsoku w:val="0"/>
        <w:overflowPunct w:val="0"/>
        <w:spacing w:before="58"/>
        <w:ind w:left="828"/>
        <w:rPr>
          <w:b w:val="0"/>
          <w:bCs w:val="0"/>
          <w:u w:val="none"/>
        </w:rPr>
      </w:pPr>
      <w:r>
        <w:rPr>
          <w:u w:val="thick"/>
        </w:rPr>
        <w:lastRenderedPageBreak/>
        <w:t>Procedure</w:t>
      </w:r>
    </w:p>
    <w:p w:rsidR="00000000" w:rsidRDefault="00560E8E">
      <w:pPr>
        <w:pStyle w:val="BodyText"/>
        <w:kinsoku w:val="0"/>
        <w:overflowPunct w:val="0"/>
        <w:spacing w:before="1"/>
        <w:ind w:left="0"/>
        <w:rPr>
          <w:rFonts w:ascii="Arial" w:hAnsi="Arial" w:cs="Arial"/>
          <w:b/>
          <w:bCs/>
          <w:sz w:val="18"/>
          <w:szCs w:val="18"/>
        </w:rPr>
      </w:pPr>
    </w:p>
    <w:p w:rsidR="00000000" w:rsidRDefault="00560E8E">
      <w:pPr>
        <w:pStyle w:val="ListParagraph"/>
        <w:numPr>
          <w:ilvl w:val="1"/>
          <w:numId w:val="3"/>
        </w:numPr>
        <w:tabs>
          <w:tab w:val="left" w:pos="1549"/>
        </w:tabs>
        <w:kinsoku w:val="0"/>
        <w:overflowPunct w:val="0"/>
        <w:spacing w:before="69"/>
        <w:ind w:left="1548" w:hanging="720"/>
        <w:rPr>
          <w:rFonts w:ascii="Arial" w:hAnsi="Arial" w:cs="Arial"/>
          <w:sz w:val="20"/>
          <w:szCs w:val="20"/>
        </w:rPr>
      </w:pPr>
      <w:r>
        <w:rPr>
          <w:rFonts w:ascii="Arial" w:hAnsi="Arial" w:cs="Arial"/>
          <w:b/>
          <w:bCs/>
          <w:sz w:val="20"/>
          <w:szCs w:val="20"/>
          <w:u w:val="thick"/>
        </w:rPr>
        <w:t>Who Shall</w:t>
      </w:r>
      <w:r>
        <w:rPr>
          <w:rFonts w:ascii="Arial" w:hAnsi="Arial" w:cs="Arial"/>
          <w:b/>
          <w:bCs/>
          <w:spacing w:val="-2"/>
          <w:sz w:val="20"/>
          <w:szCs w:val="20"/>
          <w:u w:val="thick"/>
        </w:rPr>
        <w:t xml:space="preserve"> </w:t>
      </w:r>
      <w:r>
        <w:rPr>
          <w:rFonts w:ascii="Arial" w:hAnsi="Arial" w:cs="Arial"/>
          <w:b/>
          <w:bCs/>
          <w:sz w:val="20"/>
          <w:szCs w:val="20"/>
          <w:u w:val="thick"/>
        </w:rPr>
        <w:t>Arbitrate</w:t>
      </w:r>
      <w:r>
        <w:rPr>
          <w:rFonts w:ascii="Arial" w:hAnsi="Arial" w:cs="Arial"/>
          <w:b/>
          <w:bCs/>
          <w:sz w:val="20"/>
          <w:szCs w:val="20"/>
        </w:rPr>
        <w:t>?</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4"/>
        <w:jc w:val="both"/>
      </w:pPr>
      <w:r>
        <w:t xml:space="preserve">All arbitrations under this Agreement shall be administered by Benchmark Arbitration Services under its rules for the resolution of disputes. In the event that Benchmark Arbitration Services is unable or unwilling to administer the arbitration, Judicial </w:t>
      </w:r>
      <w:r>
        <w:t xml:space="preserve"> Workplace Arbitrations, Inc. shall administer the arbitration under its rules for the resolution of disputes. Should Judicial Workplace Arbitrations be unwilling or unable to administer the arbitration, then the American Arbitration Association will admin</w:t>
      </w:r>
      <w:r>
        <w:t>ister the arbitration under its then existing rules for the resolution of employment disputes from its Dallas, Texas Panel, or the parties may utilize any other arbitrator that is mutually agreeable to Claimant and Company. For any arbitration under this A</w:t>
      </w:r>
      <w:r>
        <w:t>greement, a single arbitrator shall be appointed. Company and Claimant are to participate in the selection of a neutral arbitrator as follows: The parties shall be presented a panel with a minimum of three different arbitrators. Company and Claimant may ag</w:t>
      </w:r>
      <w:r>
        <w:t>ree to the selection of one arbitrator from the panel. If agreement is not reached, Company and Claimant shall have  an equal number of strikes. The parties shall continue to strike arbitrators from the panel until one arbitrator remains.  That person shal</w:t>
      </w:r>
      <w:r>
        <w:t>l then arbitrate the claim.  Any arbitrator  must be neutral as to all parties. Standards for the recusal of an arbitrator shall be the same standards under which trial judges are recused under Texas</w:t>
      </w:r>
      <w:r>
        <w:rPr>
          <w:spacing w:val="-9"/>
        </w:rPr>
        <w:t xml:space="preserve"> </w:t>
      </w:r>
      <w:r>
        <w:t>law.</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Where Shall the Arbitration Take</w:t>
      </w:r>
      <w:r>
        <w:rPr>
          <w:rFonts w:ascii="Arial" w:hAnsi="Arial" w:cs="Arial"/>
          <w:b/>
          <w:bCs/>
          <w:spacing w:val="-4"/>
          <w:sz w:val="20"/>
          <w:szCs w:val="20"/>
          <w:u w:val="thick"/>
        </w:rPr>
        <w:t xml:space="preserve"> </w:t>
      </w:r>
      <w:r>
        <w:rPr>
          <w:rFonts w:ascii="Arial" w:hAnsi="Arial" w:cs="Arial"/>
          <w:b/>
          <w:bCs/>
          <w:sz w:val="20"/>
          <w:szCs w:val="20"/>
          <w:u w:val="thick"/>
        </w:rPr>
        <w:t>Place</w:t>
      </w:r>
      <w:r>
        <w:rPr>
          <w:rFonts w:ascii="Arial" w:hAnsi="Arial" w:cs="Arial"/>
          <w:b/>
          <w:bCs/>
          <w:sz w:val="20"/>
          <w:szCs w:val="20"/>
        </w:rPr>
        <w:t>?</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8"/>
        <w:jc w:val="both"/>
      </w:pPr>
      <w:r>
        <w:t>If Claima</w:t>
      </w:r>
      <w:r>
        <w:t>nt lives within 50 miles of Dallas, Texas, the arbitration shall be held in Dallas, Texas. If Claimant lives more than 50 miles from Dallas, Texas, Claimant may elect to have the arbitration held in Dallas or at a location within 50 miles of Claimant’s</w:t>
      </w:r>
      <w:r>
        <w:rPr>
          <w:spacing w:val="-11"/>
        </w:rPr>
        <w:t xml:space="preserve"> </w:t>
      </w:r>
      <w:r>
        <w:t>res</w:t>
      </w:r>
      <w:r>
        <w:t>idence.</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Payment of Fees and</w:t>
      </w:r>
      <w:r>
        <w:rPr>
          <w:rFonts w:ascii="Arial" w:hAnsi="Arial" w:cs="Arial"/>
          <w:b/>
          <w:bCs/>
          <w:spacing w:val="-1"/>
          <w:sz w:val="20"/>
          <w:szCs w:val="20"/>
          <w:u w:val="thick"/>
        </w:rPr>
        <w:t xml:space="preserve"> </w:t>
      </w:r>
      <w:r>
        <w:rPr>
          <w:rFonts w:ascii="Arial" w:hAnsi="Arial" w:cs="Arial"/>
          <w:b/>
          <w:bCs/>
          <w:sz w:val="20"/>
          <w:szCs w:val="20"/>
          <w:u w:val="thick"/>
        </w:rPr>
        <w:t>Expenses</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Company shall be responsible for the fees of the arbitrator and the cost of a stenographic record of the arbitration</w:t>
      </w:r>
      <w:r>
        <w:rPr>
          <w:spacing w:val="-5"/>
        </w:rPr>
        <w:t xml:space="preserve"> </w:t>
      </w:r>
      <w:r>
        <w:t>hearing.</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Discovery and Pre-Arbitration</w:t>
      </w:r>
      <w:r>
        <w:rPr>
          <w:rFonts w:ascii="Arial" w:hAnsi="Arial" w:cs="Arial"/>
          <w:b/>
          <w:bCs/>
          <w:spacing w:val="-7"/>
          <w:sz w:val="20"/>
          <w:szCs w:val="20"/>
          <w:u w:val="thick"/>
        </w:rPr>
        <w:t xml:space="preserve"> </w:t>
      </w:r>
      <w:r>
        <w:rPr>
          <w:rFonts w:ascii="Arial" w:hAnsi="Arial" w:cs="Arial"/>
          <w:b/>
          <w:bCs/>
          <w:sz w:val="20"/>
          <w:szCs w:val="20"/>
          <w:u w:val="thick"/>
        </w:rPr>
        <w:t>Motions</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6"/>
        <w:jc w:val="both"/>
      </w:pPr>
      <w:r>
        <w:t>All parties are entitled to pre-arbitration discovery under the Texas Rules of Civil Procedure. The same discovery devices and scope of discovery as set forth in those rules shall apply. All parties are entitled to file any motions, including dispositive m</w:t>
      </w:r>
      <w:r>
        <w:t>otions, set forth in the Texas Rules of Civil</w:t>
      </w:r>
      <w:r>
        <w:rPr>
          <w:spacing w:val="-5"/>
        </w:rPr>
        <w:t xml:space="preserve"> </w:t>
      </w:r>
      <w:r>
        <w:t>Procedure.</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Remedies and</w:t>
      </w:r>
      <w:r>
        <w:rPr>
          <w:rFonts w:ascii="Arial" w:hAnsi="Arial" w:cs="Arial"/>
          <w:b/>
          <w:bCs/>
          <w:spacing w:val="-3"/>
          <w:sz w:val="20"/>
          <w:szCs w:val="20"/>
          <w:u w:val="thick"/>
        </w:rPr>
        <w:t xml:space="preserve"> </w:t>
      </w:r>
      <w:r>
        <w:rPr>
          <w:rFonts w:ascii="Arial" w:hAnsi="Arial" w:cs="Arial"/>
          <w:b/>
          <w:bCs/>
          <w:sz w:val="20"/>
          <w:szCs w:val="20"/>
          <w:u w:val="thick"/>
        </w:rPr>
        <w:t>Defenses</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12"/>
        <w:jc w:val="both"/>
      </w:pPr>
      <w:r>
        <w:t>All parties are entitled to allege any claim, obtain any remedy and assert any legal or equitable defense that the party could allege, obtain or assert in a Texas state or fed</w:t>
      </w:r>
      <w:r>
        <w:t>eral court.</w:t>
      </w:r>
    </w:p>
    <w:p w:rsidR="00000000" w:rsidRDefault="00560E8E">
      <w:pPr>
        <w:pStyle w:val="BodyText"/>
        <w:kinsoku w:val="0"/>
        <w:overflowPunct w:val="0"/>
        <w:ind w:right="112"/>
        <w:jc w:val="both"/>
        <w:sectPr w:rsidR="00000000">
          <w:pgSz w:w="12240" w:h="15840"/>
          <w:pgMar w:top="1380" w:right="900" w:bottom="760" w:left="900" w:header="0" w:footer="560" w:gutter="0"/>
          <w:cols w:space="720"/>
          <w:noEndnote/>
        </w:sectPr>
      </w:pPr>
    </w:p>
    <w:p w:rsidR="00000000" w:rsidRDefault="00560E8E">
      <w:pPr>
        <w:pStyle w:val="ListParagraph"/>
        <w:numPr>
          <w:ilvl w:val="1"/>
          <w:numId w:val="3"/>
        </w:numPr>
        <w:tabs>
          <w:tab w:val="left" w:pos="1549"/>
        </w:tabs>
        <w:kinsoku w:val="0"/>
        <w:overflowPunct w:val="0"/>
        <w:spacing w:before="39"/>
        <w:ind w:left="1548" w:hanging="720"/>
        <w:rPr>
          <w:rFonts w:ascii="Arial" w:hAnsi="Arial" w:cs="Arial"/>
          <w:sz w:val="20"/>
          <w:szCs w:val="20"/>
        </w:rPr>
      </w:pPr>
      <w:r>
        <w:rPr>
          <w:rFonts w:ascii="Arial" w:hAnsi="Arial" w:cs="Arial"/>
          <w:b/>
          <w:bCs/>
          <w:sz w:val="20"/>
          <w:szCs w:val="20"/>
          <w:u w:val="thick"/>
        </w:rPr>
        <w:lastRenderedPageBreak/>
        <w:t>Record</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A stenographic record shall be taken of the arbitration</w:t>
      </w:r>
      <w:r>
        <w:rPr>
          <w:spacing w:val="-7"/>
        </w:rPr>
        <w:t xml:space="preserve"> </w:t>
      </w:r>
      <w:r>
        <w:t>hearing.</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Written</w:t>
      </w:r>
      <w:r>
        <w:rPr>
          <w:rFonts w:ascii="Arial" w:hAnsi="Arial" w:cs="Arial"/>
          <w:b/>
          <w:bCs/>
          <w:spacing w:val="-3"/>
          <w:sz w:val="20"/>
          <w:szCs w:val="20"/>
          <w:u w:val="thick"/>
        </w:rPr>
        <w:t xml:space="preserve"> </w:t>
      </w:r>
      <w:r>
        <w:rPr>
          <w:rFonts w:ascii="Arial" w:hAnsi="Arial" w:cs="Arial"/>
          <w:b/>
          <w:bCs/>
          <w:sz w:val="20"/>
          <w:szCs w:val="20"/>
          <w:u w:val="thick"/>
        </w:rPr>
        <w:t>Award</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Within a reasonable time after the conclusion of the arbitration hearing, the arbitrator shall issue an award and send a copy to all</w:t>
      </w:r>
      <w:r>
        <w:rPr>
          <w:spacing w:val="-5"/>
        </w:rPr>
        <w:t xml:space="preserve"> </w:t>
      </w:r>
      <w:r>
        <w:t>parties.</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Judgment</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Any party to an arbitration award may file the award in an</w:t>
      </w:r>
      <w:r>
        <w:rPr>
          <w:spacing w:val="-12"/>
        </w:rPr>
        <w:t xml:space="preserve"> </w:t>
      </w:r>
      <w:r>
        <w:t>appropriate</w:t>
      </w:r>
    </w:p>
    <w:p w:rsidR="00000000" w:rsidRDefault="00560E8E">
      <w:pPr>
        <w:pStyle w:val="BodyText"/>
        <w:kinsoku w:val="0"/>
        <w:overflowPunct w:val="0"/>
        <w:spacing w:before="0"/>
        <w:ind w:right="107"/>
      </w:pPr>
      <w:r>
        <w:t>Texas state court and move that a judgment be entered on the arbitration</w:t>
      </w:r>
      <w:r>
        <w:rPr>
          <w:spacing w:val="-15"/>
        </w:rPr>
        <w:t xml:space="preserve"> </w:t>
      </w:r>
      <w:r>
        <w:t>award.</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Appeals</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5"/>
        <w:jc w:val="both"/>
      </w:pPr>
      <w:r>
        <w:t>Any party has the right to appeal a judgment from an arbitration award. Claimant and Company expressly agree that the standard of review for a judgment arising from an arbitration award pursuant to this agreement shall be the same standard of review that w</w:t>
      </w:r>
      <w:r>
        <w:t>ould be applicable to a judgment rendered after trial in a Texas state</w:t>
      </w:r>
      <w:r>
        <w:rPr>
          <w:spacing w:val="-8"/>
        </w:rPr>
        <w:t xml:space="preserve"> </w:t>
      </w:r>
      <w:r>
        <w:t>court.</w:t>
      </w:r>
    </w:p>
    <w:p w:rsidR="00000000" w:rsidRDefault="00560E8E">
      <w:pPr>
        <w:pStyle w:val="BodyText"/>
        <w:kinsoku w:val="0"/>
        <w:overflowPunct w:val="0"/>
        <w:spacing w:before="2"/>
        <w:ind w:left="0"/>
      </w:pPr>
    </w:p>
    <w:p w:rsidR="00000000" w:rsidRDefault="00560E8E">
      <w:pPr>
        <w:pStyle w:val="ListParagraph"/>
        <w:numPr>
          <w:ilvl w:val="1"/>
          <w:numId w:val="3"/>
        </w:numPr>
        <w:tabs>
          <w:tab w:val="left" w:pos="1549"/>
        </w:tabs>
        <w:kinsoku w:val="0"/>
        <w:overflowPunct w:val="0"/>
        <w:ind w:left="1548" w:hanging="720"/>
        <w:rPr>
          <w:rFonts w:ascii="Arial" w:hAnsi="Arial" w:cs="Arial"/>
          <w:sz w:val="20"/>
          <w:szCs w:val="20"/>
        </w:rPr>
      </w:pPr>
      <w:r>
        <w:rPr>
          <w:rFonts w:ascii="Arial" w:hAnsi="Arial" w:cs="Arial"/>
          <w:b/>
          <w:bCs/>
          <w:sz w:val="20"/>
          <w:szCs w:val="20"/>
          <w:u w:val="thick"/>
        </w:rPr>
        <w:t>Confidentiality</w:t>
      </w:r>
    </w:p>
    <w:p w:rsidR="00000000" w:rsidRDefault="00560E8E">
      <w:pPr>
        <w:pStyle w:val="BodyText"/>
        <w:kinsoku w:val="0"/>
        <w:overflowPunct w:val="0"/>
        <w:spacing w:before="9"/>
        <w:ind w:left="0"/>
        <w:rPr>
          <w:rFonts w:ascii="Arial" w:hAnsi="Arial" w:cs="Arial"/>
          <w:b/>
          <w:bCs/>
          <w:sz w:val="17"/>
          <w:szCs w:val="17"/>
        </w:rPr>
      </w:pPr>
    </w:p>
    <w:p w:rsidR="00000000" w:rsidRDefault="00560E8E">
      <w:pPr>
        <w:pStyle w:val="BodyText"/>
        <w:kinsoku w:val="0"/>
        <w:overflowPunct w:val="0"/>
        <w:ind w:right="107"/>
      </w:pPr>
      <w:r>
        <w:t>The parties agree that any settlement or arbitration of a Covered Claim shall be kept confidential</w:t>
      </w:r>
      <w:r>
        <w:rPr>
          <w:spacing w:val="-3"/>
        </w:rPr>
        <w:t xml:space="preserve"> </w:t>
      </w:r>
      <w:r>
        <w:t>except:</w:t>
      </w:r>
    </w:p>
    <w:p w:rsidR="00000000" w:rsidRDefault="00560E8E">
      <w:pPr>
        <w:pStyle w:val="BodyText"/>
        <w:kinsoku w:val="0"/>
        <w:overflowPunct w:val="0"/>
        <w:spacing w:before="11"/>
        <w:ind w:left="0"/>
        <w:rPr>
          <w:sz w:val="23"/>
          <w:szCs w:val="23"/>
        </w:rPr>
      </w:pPr>
    </w:p>
    <w:p w:rsidR="00000000" w:rsidRDefault="00560E8E">
      <w:pPr>
        <w:pStyle w:val="ListParagraph"/>
        <w:numPr>
          <w:ilvl w:val="2"/>
          <w:numId w:val="3"/>
        </w:numPr>
        <w:tabs>
          <w:tab w:val="left" w:pos="2269"/>
        </w:tabs>
        <w:kinsoku w:val="0"/>
        <w:overflowPunct w:val="0"/>
        <w:ind w:right="106"/>
        <w:rPr>
          <w:rFonts w:cs="Times New Roman"/>
        </w:rPr>
      </w:pPr>
      <w:r>
        <w:rPr>
          <w:rFonts w:cs="Times New Roman"/>
        </w:rPr>
        <w:t>Communications made, pleadings filed and materials s</w:t>
      </w:r>
      <w:r>
        <w:rPr>
          <w:rFonts w:cs="Times New Roman"/>
        </w:rPr>
        <w:t>ubmitted in connection with the entry or appeal of an award of the</w:t>
      </w:r>
      <w:r>
        <w:rPr>
          <w:rFonts w:cs="Times New Roman"/>
          <w:spacing w:val="-7"/>
        </w:rPr>
        <w:t xml:space="preserve"> </w:t>
      </w:r>
      <w:r>
        <w:rPr>
          <w:rFonts w:cs="Times New Roman"/>
        </w:rPr>
        <w:t>arbitrator;</w:t>
      </w:r>
    </w:p>
    <w:p w:rsidR="00000000" w:rsidRDefault="00560E8E">
      <w:pPr>
        <w:pStyle w:val="BodyText"/>
        <w:kinsoku w:val="0"/>
        <w:overflowPunct w:val="0"/>
        <w:spacing w:before="0"/>
        <w:ind w:left="0"/>
      </w:pPr>
    </w:p>
    <w:p w:rsidR="00000000" w:rsidRDefault="00560E8E">
      <w:pPr>
        <w:pStyle w:val="ListParagraph"/>
        <w:numPr>
          <w:ilvl w:val="2"/>
          <w:numId w:val="3"/>
        </w:numPr>
        <w:tabs>
          <w:tab w:val="left" w:pos="2269"/>
        </w:tabs>
        <w:kinsoku w:val="0"/>
        <w:overflowPunct w:val="0"/>
        <w:rPr>
          <w:rFonts w:cs="Times New Roman"/>
        </w:rPr>
      </w:pPr>
      <w:r>
        <w:rPr>
          <w:rFonts w:cs="Times New Roman"/>
        </w:rPr>
        <w:t>Communications or reporting to the Internal Revenue</w:t>
      </w:r>
      <w:r>
        <w:rPr>
          <w:rFonts w:cs="Times New Roman"/>
          <w:spacing w:val="-10"/>
        </w:rPr>
        <w:t xml:space="preserve"> </w:t>
      </w:r>
      <w:r>
        <w:rPr>
          <w:rFonts w:cs="Times New Roman"/>
        </w:rPr>
        <w:t>Service;</w:t>
      </w:r>
    </w:p>
    <w:p w:rsidR="00000000" w:rsidRDefault="00560E8E">
      <w:pPr>
        <w:pStyle w:val="BodyText"/>
        <w:kinsoku w:val="0"/>
        <w:overflowPunct w:val="0"/>
        <w:spacing w:before="0"/>
        <w:ind w:left="0"/>
      </w:pPr>
    </w:p>
    <w:p w:rsidR="00000000" w:rsidRDefault="00560E8E">
      <w:pPr>
        <w:pStyle w:val="ListParagraph"/>
        <w:numPr>
          <w:ilvl w:val="2"/>
          <w:numId w:val="3"/>
        </w:numPr>
        <w:tabs>
          <w:tab w:val="left" w:pos="2269"/>
        </w:tabs>
        <w:kinsoku w:val="0"/>
        <w:overflowPunct w:val="0"/>
        <w:rPr>
          <w:rFonts w:cs="Times New Roman"/>
        </w:rPr>
      </w:pPr>
      <w:r>
        <w:rPr>
          <w:rFonts w:cs="Times New Roman"/>
        </w:rPr>
        <w:t>If Claimant or Company is compelled to testify by</w:t>
      </w:r>
      <w:r>
        <w:rPr>
          <w:rFonts w:cs="Times New Roman"/>
          <w:spacing w:val="-10"/>
        </w:rPr>
        <w:t xml:space="preserve"> </w:t>
      </w:r>
      <w:r>
        <w:rPr>
          <w:rFonts w:cs="Times New Roman"/>
        </w:rPr>
        <w:t>subpoena.</w:t>
      </w:r>
    </w:p>
    <w:p w:rsidR="00000000" w:rsidRDefault="00560E8E">
      <w:pPr>
        <w:pStyle w:val="BodyText"/>
        <w:kinsoku w:val="0"/>
        <w:overflowPunct w:val="0"/>
        <w:spacing w:before="0"/>
        <w:ind w:left="0"/>
      </w:pPr>
    </w:p>
    <w:p w:rsidR="00000000" w:rsidRDefault="00560E8E">
      <w:pPr>
        <w:pStyle w:val="BodyText"/>
        <w:kinsoku w:val="0"/>
        <w:overflowPunct w:val="0"/>
        <w:spacing w:before="1"/>
        <w:ind w:left="0"/>
      </w:pPr>
    </w:p>
    <w:p w:rsidR="00000000" w:rsidRDefault="00560E8E">
      <w:pPr>
        <w:pStyle w:val="Heading1"/>
        <w:numPr>
          <w:ilvl w:val="0"/>
          <w:numId w:val="3"/>
        </w:numPr>
        <w:tabs>
          <w:tab w:val="left" w:pos="828"/>
        </w:tabs>
        <w:kinsoku w:val="0"/>
        <w:overflowPunct w:val="0"/>
        <w:ind w:left="828"/>
        <w:rPr>
          <w:b w:val="0"/>
          <w:bCs w:val="0"/>
          <w:u w:val="none"/>
        </w:rPr>
      </w:pPr>
      <w:r>
        <w:rPr>
          <w:u w:val="thick"/>
        </w:rPr>
        <w:t>Consideration</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28" w:right="104"/>
        <w:jc w:val="both"/>
      </w:pPr>
      <w:r>
        <w:t>In addition to any other consideration that may exist for the agreement to arbitrate, Company’s and Claimant’s mutual promise to resolve claims and controversies by arbitration in accordance with the provisions of this Agreement constitutes consideration f</w:t>
      </w:r>
      <w:r>
        <w:t xml:space="preserve">or this Agreement. Claimant’s continued employment with Company after receiving notice of the institution of the Agreement also constitutes consideration for this Agreement. Finally, this Agreement is presented in connection with Company’s Employee Injury </w:t>
      </w:r>
      <w:r>
        <w:t>Benefit Plan. Payments made under that Plan also constitute consideration for this</w:t>
      </w:r>
      <w:r>
        <w:rPr>
          <w:spacing w:val="-8"/>
        </w:rPr>
        <w:t xml:space="preserve"> </w:t>
      </w:r>
      <w:r>
        <w:t>Agreement.</w:t>
      </w:r>
    </w:p>
    <w:p w:rsidR="00000000" w:rsidRDefault="00560E8E">
      <w:pPr>
        <w:pStyle w:val="BodyText"/>
        <w:kinsoku w:val="0"/>
        <w:overflowPunct w:val="0"/>
        <w:ind w:left="828" w:right="104"/>
        <w:jc w:val="both"/>
        <w:sectPr w:rsidR="00000000">
          <w:pgSz w:w="12240" w:h="15840"/>
          <w:pgMar w:top="1400" w:right="900" w:bottom="740" w:left="900" w:header="0" w:footer="560" w:gutter="0"/>
          <w:cols w:space="720"/>
          <w:noEndnote/>
        </w:sectPr>
      </w:pPr>
    </w:p>
    <w:p w:rsidR="00000000" w:rsidRDefault="00560E8E">
      <w:pPr>
        <w:pStyle w:val="Heading1"/>
        <w:numPr>
          <w:ilvl w:val="0"/>
          <w:numId w:val="3"/>
        </w:numPr>
        <w:tabs>
          <w:tab w:val="left" w:pos="828"/>
        </w:tabs>
        <w:kinsoku w:val="0"/>
        <w:overflowPunct w:val="0"/>
        <w:spacing w:before="58"/>
        <w:ind w:left="828"/>
        <w:rPr>
          <w:b w:val="0"/>
          <w:bCs w:val="0"/>
          <w:u w:val="none"/>
        </w:rPr>
      </w:pPr>
      <w:r>
        <w:rPr>
          <w:u w:val="thick"/>
        </w:rPr>
        <w:lastRenderedPageBreak/>
        <w:t xml:space="preserve"> Enforceability</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28" w:right="105"/>
        <w:jc w:val="both"/>
      </w:pPr>
      <w:r>
        <w:t>If any provision of this Arbitration Program is adjudged to be invalid, illegal or unenforceable, in whole or in part, the b</w:t>
      </w:r>
      <w:r>
        <w:t xml:space="preserve">alance of this Agreement shall remain in effect. If this Agreement is held to not be enforceable on a retroactive basis to the effective date (set forth in Paragraph 1), the Agreement shall be enforced only prospectively from the acceptance date (also set </w:t>
      </w:r>
      <w:r>
        <w:t>forth in Paragraph</w:t>
      </w:r>
      <w:r>
        <w:rPr>
          <w:spacing w:val="-2"/>
        </w:rPr>
        <w:t xml:space="preserve"> </w:t>
      </w:r>
      <w:r>
        <w:t>1).</w:t>
      </w:r>
    </w:p>
    <w:p w:rsidR="00000000" w:rsidRDefault="00560E8E">
      <w:pPr>
        <w:pStyle w:val="BodyText"/>
        <w:kinsoku w:val="0"/>
        <w:overflowPunct w:val="0"/>
        <w:spacing w:before="1"/>
        <w:ind w:left="0"/>
      </w:pPr>
    </w:p>
    <w:p w:rsidR="00000000" w:rsidRDefault="00560E8E">
      <w:pPr>
        <w:pStyle w:val="Heading1"/>
        <w:numPr>
          <w:ilvl w:val="0"/>
          <w:numId w:val="3"/>
        </w:numPr>
        <w:tabs>
          <w:tab w:val="left" w:pos="828"/>
        </w:tabs>
        <w:kinsoku w:val="0"/>
        <w:overflowPunct w:val="0"/>
        <w:ind w:left="828"/>
        <w:rPr>
          <w:b w:val="0"/>
          <w:bCs w:val="0"/>
          <w:u w:val="none"/>
        </w:rPr>
      </w:pPr>
      <w:r>
        <w:rPr>
          <w:u w:val="thick"/>
        </w:rPr>
        <w:t>Not an Employment</w:t>
      </w:r>
      <w:r>
        <w:rPr>
          <w:spacing w:val="-4"/>
          <w:u w:val="thick"/>
        </w:rPr>
        <w:t xml:space="preserve"> </w:t>
      </w:r>
      <w:r>
        <w:rPr>
          <w:u w:val="thick"/>
        </w:rPr>
        <w:t>Agreement</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28" w:right="108"/>
        <w:jc w:val="both"/>
      </w:pPr>
      <w:r>
        <w:t>This Agreement is not, and shall not be construed to create, any contract of employment, express  or implied, nor shall the Agreement be construed in any way to change the employment status of any employ</w:t>
      </w:r>
      <w:r>
        <w:t>ee of Company from at-will</w:t>
      </w:r>
      <w:r>
        <w:rPr>
          <w:spacing w:val="-5"/>
        </w:rPr>
        <w:t xml:space="preserve"> </w:t>
      </w:r>
      <w:r>
        <w:t>status.</w:t>
      </w:r>
    </w:p>
    <w:p w:rsidR="00000000" w:rsidRDefault="00560E8E">
      <w:pPr>
        <w:pStyle w:val="BodyText"/>
        <w:kinsoku w:val="0"/>
        <w:overflowPunct w:val="0"/>
        <w:spacing w:before="1"/>
        <w:ind w:left="0"/>
      </w:pPr>
    </w:p>
    <w:p w:rsidR="00000000" w:rsidRDefault="00560E8E">
      <w:pPr>
        <w:pStyle w:val="Heading1"/>
        <w:numPr>
          <w:ilvl w:val="0"/>
          <w:numId w:val="3"/>
        </w:numPr>
        <w:tabs>
          <w:tab w:val="left" w:pos="828"/>
        </w:tabs>
        <w:kinsoku w:val="0"/>
        <w:overflowPunct w:val="0"/>
        <w:ind w:left="828"/>
        <w:rPr>
          <w:b w:val="0"/>
          <w:bCs w:val="0"/>
          <w:u w:val="none"/>
        </w:rPr>
      </w:pPr>
      <w:r>
        <w:rPr>
          <w:u w:val="thick"/>
        </w:rPr>
        <w:t>Termination of</w:t>
      </w:r>
      <w:r>
        <w:rPr>
          <w:spacing w:val="-4"/>
          <w:u w:val="thick"/>
        </w:rPr>
        <w:t xml:space="preserve"> </w:t>
      </w:r>
      <w:r>
        <w:rPr>
          <w:u w:val="thick"/>
        </w:rPr>
        <w:t>Agreement</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28" w:right="109"/>
        <w:jc w:val="both"/>
      </w:pPr>
      <w:r>
        <w:t>Company shall have the right to prospectively terminate this Agreement. Termination is not effective for Covered Claims which accrue</w:t>
      </w:r>
      <w:r>
        <w:t>d or occurred prior to the date of the termination. Termination is also not effective until ten (10) days after reasonable notice is given to</w:t>
      </w:r>
      <w:r>
        <w:rPr>
          <w:spacing w:val="-16"/>
        </w:rPr>
        <w:t xml:space="preserve"> </w:t>
      </w:r>
      <w:r>
        <w:t>Claimant.</w:t>
      </w:r>
    </w:p>
    <w:p w:rsidR="00000000" w:rsidRDefault="00560E8E">
      <w:pPr>
        <w:pStyle w:val="BodyText"/>
        <w:kinsoku w:val="0"/>
        <w:overflowPunct w:val="0"/>
        <w:spacing w:before="1"/>
        <w:ind w:left="0"/>
      </w:pPr>
    </w:p>
    <w:p w:rsidR="00000000" w:rsidRDefault="00560E8E">
      <w:pPr>
        <w:pStyle w:val="Heading1"/>
        <w:numPr>
          <w:ilvl w:val="0"/>
          <w:numId w:val="3"/>
        </w:numPr>
        <w:tabs>
          <w:tab w:val="left" w:pos="828"/>
        </w:tabs>
        <w:kinsoku w:val="0"/>
        <w:overflowPunct w:val="0"/>
        <w:ind w:left="828"/>
        <w:rPr>
          <w:b w:val="0"/>
          <w:bCs w:val="0"/>
          <w:u w:val="none"/>
        </w:rPr>
      </w:pPr>
      <w:r>
        <w:rPr>
          <w:u w:val="thick"/>
        </w:rPr>
        <w:t>Term</w:t>
      </w:r>
    </w:p>
    <w:p w:rsidR="00000000" w:rsidRDefault="00560E8E">
      <w:pPr>
        <w:pStyle w:val="BodyText"/>
        <w:kinsoku w:val="0"/>
        <w:overflowPunct w:val="0"/>
        <w:spacing w:before="10"/>
        <w:ind w:left="0"/>
        <w:rPr>
          <w:rFonts w:ascii="Arial" w:hAnsi="Arial" w:cs="Arial"/>
          <w:b/>
          <w:bCs/>
          <w:sz w:val="17"/>
          <w:szCs w:val="17"/>
        </w:rPr>
      </w:pPr>
    </w:p>
    <w:p w:rsidR="00000000" w:rsidRDefault="00560E8E">
      <w:pPr>
        <w:pStyle w:val="BodyText"/>
        <w:kinsoku w:val="0"/>
        <w:overflowPunct w:val="0"/>
        <w:ind w:left="828" w:right="105"/>
        <w:jc w:val="both"/>
      </w:pPr>
      <w:r>
        <w:t>This Agreement commences on the Acceptance Date and applies to all Covered Claims which occurred on or after the effective</w:t>
      </w:r>
      <w:r>
        <w:rPr>
          <w:spacing w:val="-6"/>
        </w:rPr>
        <w:t xml:space="preserve"> </w:t>
      </w:r>
      <w:r>
        <w:t>date.</w:t>
      </w:r>
    </w:p>
    <w:p w:rsidR="00000000" w:rsidRDefault="00560E8E">
      <w:pPr>
        <w:pStyle w:val="BodyText"/>
        <w:kinsoku w:val="0"/>
        <w:overflowPunct w:val="0"/>
        <w:spacing w:before="0"/>
        <w:ind w:left="0"/>
      </w:pPr>
    </w:p>
    <w:p w:rsidR="00000000" w:rsidRDefault="00560E8E">
      <w:pPr>
        <w:pStyle w:val="BodyText"/>
        <w:kinsoku w:val="0"/>
        <w:overflowPunct w:val="0"/>
        <w:spacing w:before="0"/>
        <w:ind w:left="828" w:right="106"/>
        <w:jc w:val="both"/>
      </w:pPr>
      <w:r>
        <w:t>This Agreement shall survive the employer-employee relationship between the Company and the Claimant and shall apply to any Co</w:t>
      </w:r>
      <w:r>
        <w:t>vered Claim whether it arises or is asserted during or after termination of the Claimant’s employment with the Company or the expiration of any benefit</w:t>
      </w:r>
      <w:r>
        <w:rPr>
          <w:spacing w:val="-10"/>
        </w:rPr>
        <w:t xml:space="preserve"> </w:t>
      </w:r>
      <w:r>
        <w:t>plan.</w:t>
      </w:r>
    </w:p>
    <w:p w:rsidR="00000000" w:rsidRDefault="00560E8E">
      <w:pPr>
        <w:pStyle w:val="BodyText"/>
        <w:kinsoku w:val="0"/>
        <w:overflowPunct w:val="0"/>
        <w:spacing w:before="0"/>
        <w:ind w:left="0"/>
      </w:pPr>
    </w:p>
    <w:p w:rsidR="00000000" w:rsidRDefault="00560E8E">
      <w:pPr>
        <w:pStyle w:val="Heading1"/>
        <w:numPr>
          <w:ilvl w:val="0"/>
          <w:numId w:val="1"/>
        </w:numPr>
        <w:tabs>
          <w:tab w:val="left" w:pos="828"/>
        </w:tabs>
        <w:kinsoku w:val="0"/>
        <w:overflowPunct w:val="0"/>
        <w:rPr>
          <w:b w:val="0"/>
          <w:bCs w:val="0"/>
          <w:u w:val="none"/>
        </w:rPr>
      </w:pPr>
      <w:r>
        <w:rPr>
          <w:u w:val="thick"/>
        </w:rPr>
        <w:t>Sole and Entire</w:t>
      </w:r>
      <w:r>
        <w:rPr>
          <w:spacing w:val="-2"/>
          <w:u w:val="thick"/>
        </w:rPr>
        <w:t xml:space="preserve"> </w:t>
      </w:r>
      <w:r>
        <w:rPr>
          <w:u w:val="thick"/>
        </w:rPr>
        <w:t>Agreement</w:t>
      </w:r>
    </w:p>
    <w:p w:rsidR="00000000" w:rsidRDefault="00560E8E">
      <w:pPr>
        <w:pStyle w:val="BodyText"/>
        <w:kinsoku w:val="0"/>
        <w:overflowPunct w:val="0"/>
        <w:spacing w:before="11"/>
        <w:ind w:left="0"/>
        <w:rPr>
          <w:rFonts w:ascii="Arial" w:hAnsi="Arial" w:cs="Arial"/>
          <w:b/>
          <w:bCs/>
          <w:sz w:val="17"/>
          <w:szCs w:val="17"/>
        </w:rPr>
      </w:pPr>
    </w:p>
    <w:p w:rsidR="00000000" w:rsidRDefault="00560E8E">
      <w:pPr>
        <w:pStyle w:val="BodyText"/>
        <w:kinsoku w:val="0"/>
        <w:overflowPunct w:val="0"/>
        <w:ind w:left="828" w:right="104"/>
        <w:jc w:val="both"/>
      </w:pPr>
      <w:r>
        <w:t>This Program Agreement constitutes the parties’</w:t>
      </w:r>
      <w:r>
        <w:t xml:space="preserve"> complete agreement and supersedes any prior agreement regarding arbitration of Covered Claims which occur during the Term of this Agreement.</w:t>
      </w:r>
    </w:p>
    <w:p w:rsidR="00000000" w:rsidRDefault="00560E8E">
      <w:pPr>
        <w:pStyle w:val="BodyText"/>
        <w:kinsoku w:val="0"/>
        <w:overflowPunct w:val="0"/>
        <w:spacing w:before="0"/>
        <w:ind w:left="0"/>
      </w:pPr>
    </w:p>
    <w:p w:rsidR="00000000" w:rsidRDefault="00560E8E">
      <w:pPr>
        <w:pStyle w:val="Heading1"/>
        <w:numPr>
          <w:ilvl w:val="0"/>
          <w:numId w:val="1"/>
        </w:numPr>
        <w:tabs>
          <w:tab w:val="left" w:pos="828"/>
        </w:tabs>
        <w:kinsoku w:val="0"/>
        <w:overflowPunct w:val="0"/>
        <w:rPr>
          <w:b w:val="0"/>
          <w:bCs w:val="0"/>
          <w:u w:val="none"/>
        </w:rPr>
      </w:pPr>
      <w:r>
        <w:rPr>
          <w:u w:val="thick"/>
        </w:rPr>
        <w:t>Applicability of This Agreement to</w:t>
      </w:r>
      <w:r>
        <w:rPr>
          <w:spacing w:val="-9"/>
          <w:u w:val="thick"/>
        </w:rPr>
        <w:t xml:space="preserve"> </w:t>
      </w:r>
      <w:r>
        <w:rPr>
          <w:u w:val="thick"/>
        </w:rPr>
        <w:t>Others</w:t>
      </w:r>
    </w:p>
    <w:p w:rsidR="00000000" w:rsidRDefault="00560E8E">
      <w:pPr>
        <w:pStyle w:val="BodyText"/>
        <w:kinsoku w:val="0"/>
        <w:overflowPunct w:val="0"/>
        <w:spacing w:before="11"/>
        <w:ind w:left="0"/>
        <w:rPr>
          <w:rFonts w:ascii="Arial" w:hAnsi="Arial" w:cs="Arial"/>
          <w:b/>
          <w:bCs/>
          <w:sz w:val="17"/>
          <w:szCs w:val="17"/>
        </w:rPr>
      </w:pPr>
    </w:p>
    <w:p w:rsidR="00000000" w:rsidRDefault="00560E8E">
      <w:pPr>
        <w:pStyle w:val="BodyText"/>
        <w:kinsoku w:val="0"/>
        <w:overflowPunct w:val="0"/>
        <w:ind w:left="828" w:right="104"/>
        <w:jc w:val="both"/>
      </w:pPr>
      <w:r>
        <w:t>Claimant and Company intend and expressly agree that any Covered Claim</w:t>
      </w:r>
      <w:r>
        <w:t xml:space="preserve"> of Claimant’s spouse, children, parents, estate, successors and/or assigns that now exists or that may come into existence in the future which arises from, relates to, or is derivative of any Covered Claim, shall be resolved according to the terms and con</w:t>
      </w:r>
      <w:r>
        <w:t>ditions of this</w:t>
      </w:r>
      <w:r>
        <w:rPr>
          <w:spacing w:val="-13"/>
        </w:rPr>
        <w:t xml:space="preserve"> </w:t>
      </w:r>
      <w:r>
        <w:t>Agreement.</w:t>
      </w:r>
    </w:p>
    <w:p w:rsidR="00000000" w:rsidRDefault="00560E8E">
      <w:pPr>
        <w:pStyle w:val="BodyText"/>
        <w:kinsoku w:val="0"/>
        <w:overflowPunct w:val="0"/>
        <w:spacing w:before="0"/>
        <w:ind w:left="0"/>
      </w:pPr>
    </w:p>
    <w:p w:rsidR="00000000" w:rsidRDefault="00560E8E">
      <w:pPr>
        <w:pStyle w:val="BodyText"/>
        <w:kinsoku w:val="0"/>
        <w:overflowPunct w:val="0"/>
        <w:spacing w:before="0"/>
        <w:ind w:left="828" w:right="107"/>
        <w:jc w:val="both"/>
      </w:pPr>
      <w:r>
        <w:t>Claimant and Company intend and expressly agree that any Covered Claim of Company’s  officers, directors, agents, predecessors, successors, and affiliated companies that arises from, relates to, or is derivative of any Covered C</w:t>
      </w:r>
      <w:r>
        <w:t>laim of Company, shall be resolved according to the terms and conditions of this</w:t>
      </w:r>
      <w:r>
        <w:rPr>
          <w:spacing w:val="-8"/>
        </w:rPr>
        <w:t xml:space="preserve"> </w:t>
      </w:r>
      <w:r>
        <w:t>Agreement.</w:t>
      </w:r>
    </w:p>
    <w:p w:rsidR="00000000" w:rsidRDefault="00560E8E">
      <w:pPr>
        <w:pStyle w:val="BodyText"/>
        <w:kinsoku w:val="0"/>
        <w:overflowPunct w:val="0"/>
        <w:spacing w:before="0"/>
        <w:ind w:left="828" w:right="107"/>
        <w:jc w:val="both"/>
        <w:sectPr w:rsidR="00000000">
          <w:pgSz w:w="12240" w:h="15840"/>
          <w:pgMar w:top="1380" w:right="900" w:bottom="740" w:left="900" w:header="0" w:footer="560" w:gutter="0"/>
          <w:cols w:space="720"/>
          <w:noEndnote/>
        </w:sectPr>
      </w:pPr>
    </w:p>
    <w:p w:rsidR="00000000" w:rsidRDefault="00560E8E">
      <w:pPr>
        <w:pStyle w:val="Heading1"/>
        <w:numPr>
          <w:ilvl w:val="0"/>
          <w:numId w:val="1"/>
        </w:numPr>
        <w:tabs>
          <w:tab w:val="left" w:pos="828"/>
        </w:tabs>
        <w:kinsoku w:val="0"/>
        <w:overflowPunct w:val="0"/>
        <w:spacing w:before="57"/>
        <w:rPr>
          <w:b w:val="0"/>
          <w:bCs w:val="0"/>
          <w:u w:val="none"/>
        </w:rPr>
      </w:pPr>
      <w:r>
        <w:rPr>
          <w:u w:val="thick"/>
        </w:rPr>
        <w:lastRenderedPageBreak/>
        <w:t>Spanish Language</w:t>
      </w:r>
      <w:r>
        <w:rPr>
          <w:spacing w:val="-3"/>
          <w:u w:val="thick"/>
        </w:rPr>
        <w:t xml:space="preserve"> </w:t>
      </w:r>
      <w:r>
        <w:rPr>
          <w:u w:val="thick"/>
        </w:rPr>
        <w:t>Version</w:t>
      </w:r>
    </w:p>
    <w:p w:rsidR="00000000" w:rsidRDefault="00560E8E">
      <w:pPr>
        <w:pStyle w:val="BodyText"/>
        <w:kinsoku w:val="0"/>
        <w:overflowPunct w:val="0"/>
        <w:spacing w:before="11"/>
        <w:ind w:left="0"/>
        <w:rPr>
          <w:rFonts w:ascii="Arial" w:hAnsi="Arial" w:cs="Arial"/>
          <w:b/>
          <w:bCs/>
          <w:sz w:val="17"/>
          <w:szCs w:val="17"/>
        </w:rPr>
      </w:pPr>
    </w:p>
    <w:p w:rsidR="00000000" w:rsidRDefault="00560E8E">
      <w:pPr>
        <w:pStyle w:val="BodyText"/>
        <w:kinsoku w:val="0"/>
        <w:overflowPunct w:val="0"/>
        <w:ind w:left="828" w:right="106"/>
        <w:jc w:val="both"/>
      </w:pPr>
      <w:r>
        <w:t xml:space="preserve">This Agreement has been translated into Spanish. In the event of any discrepancy or conflict between the English and </w:t>
      </w:r>
      <w:r>
        <w:t>Spanish versions of this Agreement, the terms of the English language version shall</w:t>
      </w:r>
      <w:r>
        <w:rPr>
          <w:spacing w:val="-6"/>
        </w:rPr>
        <w:t xml:space="preserve"> </w:t>
      </w:r>
      <w:r>
        <w:t>control.</w:t>
      </w:r>
    </w:p>
    <w:p w:rsidR="00000000" w:rsidRDefault="00560E8E">
      <w:pPr>
        <w:pStyle w:val="BodyText"/>
        <w:kinsoku w:val="0"/>
        <w:overflowPunct w:val="0"/>
        <w:ind w:left="828" w:right="106"/>
        <w:jc w:val="both"/>
        <w:sectPr w:rsidR="00000000">
          <w:pgSz w:w="12240" w:h="15840"/>
          <w:pgMar w:top="1380" w:right="900" w:bottom="740" w:left="900" w:header="0" w:footer="560" w:gutter="0"/>
          <w:cols w:space="720"/>
          <w:noEndnote/>
        </w:sectPr>
      </w:pPr>
    </w:p>
    <w:p w:rsidR="00000000" w:rsidRDefault="00560E8E">
      <w:pPr>
        <w:pStyle w:val="Heading1"/>
        <w:kinsoku w:val="0"/>
        <w:overflowPunct w:val="0"/>
        <w:spacing w:before="39"/>
        <w:ind w:left="4623" w:right="4264" w:firstLine="0"/>
        <w:jc w:val="center"/>
        <w:rPr>
          <w:rFonts w:ascii="Times New Roman" w:hAnsi="Times New Roman" w:cs="Times New Roman"/>
          <w:b w:val="0"/>
          <w:bCs w:val="0"/>
          <w:u w:val="none"/>
        </w:rPr>
      </w:pPr>
      <w:r>
        <w:rPr>
          <w:rFonts w:ascii="Times New Roman" w:hAnsi="Times New Roman" w:cs="Times New Roman"/>
          <w:u w:val="thick"/>
        </w:rPr>
        <w:lastRenderedPageBreak/>
        <w:t>Schedule</w:t>
      </w:r>
      <w:r>
        <w:rPr>
          <w:rFonts w:ascii="Times New Roman" w:hAnsi="Times New Roman" w:cs="Times New Roman"/>
          <w:spacing w:val="-1"/>
          <w:u w:val="thick"/>
        </w:rPr>
        <w:t xml:space="preserve"> </w:t>
      </w:r>
      <w:r>
        <w:rPr>
          <w:rFonts w:ascii="Times New Roman" w:hAnsi="Times New Roman" w:cs="Times New Roman"/>
          <w:u w:val="thick"/>
        </w:rPr>
        <w:t>A</w:t>
      </w:r>
    </w:p>
    <w:p w:rsidR="00000000" w:rsidRDefault="00560E8E">
      <w:pPr>
        <w:pStyle w:val="BodyText"/>
        <w:kinsoku w:val="0"/>
        <w:overflowPunct w:val="0"/>
        <w:spacing w:before="9"/>
        <w:ind w:left="0"/>
        <w:rPr>
          <w:b/>
          <w:bCs/>
          <w:sz w:val="17"/>
          <w:szCs w:val="17"/>
        </w:rPr>
      </w:pPr>
    </w:p>
    <w:p w:rsidR="00000000" w:rsidRDefault="00560E8E">
      <w:pPr>
        <w:pStyle w:val="BodyText"/>
        <w:kinsoku w:val="0"/>
        <w:overflowPunct w:val="0"/>
        <w:ind w:left="107" w:right="104" w:firstLine="720"/>
      </w:pPr>
      <w:r>
        <w:t>Mehling &amp; Associates Inc dba At Home Health Care; Mehling Management Company LLC, General Partner dba Douglas R Mehling Family Partnerships 1 LP; Iberville Inc, General Partner dba North East Texas Home Health Ltd and also dba Helping Hands Homecare Ltd; I</w:t>
      </w:r>
      <w:r>
        <w:t>berville</w:t>
      </w:r>
      <w:r>
        <w:rPr>
          <w:spacing w:val="-15"/>
        </w:rPr>
        <w:t xml:space="preserve"> </w:t>
      </w:r>
      <w:r>
        <w:t>Management LLC, General Partner dba Bienville Holdings Ltd; Iberville</w:t>
      </w:r>
      <w:r>
        <w:rPr>
          <w:spacing w:val="-8"/>
        </w:rPr>
        <w:t xml:space="preserve"> </w:t>
      </w:r>
      <w:r>
        <w:t>Inc</w:t>
      </w: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0"/>
        <w:ind w:left="0"/>
        <w:rPr>
          <w:sz w:val="20"/>
          <w:szCs w:val="20"/>
        </w:rPr>
      </w:pPr>
    </w:p>
    <w:p w:rsidR="00000000" w:rsidRDefault="00560E8E">
      <w:pPr>
        <w:pStyle w:val="BodyText"/>
        <w:kinsoku w:val="0"/>
        <w:overflowPunct w:val="0"/>
        <w:spacing w:before="5"/>
        <w:ind w:left="0"/>
        <w:rPr>
          <w:sz w:val="29"/>
          <w:szCs w:val="29"/>
        </w:rPr>
      </w:pPr>
    </w:p>
    <w:p w:rsidR="00000000" w:rsidRDefault="00560E8E">
      <w:pPr>
        <w:pStyle w:val="BodyText"/>
        <w:kinsoku w:val="0"/>
        <w:overflowPunct w:val="0"/>
        <w:spacing w:before="82"/>
        <w:ind w:left="540" w:right="104"/>
        <w:rPr>
          <w:sz w:val="14"/>
          <w:szCs w:val="14"/>
        </w:rPr>
      </w:pPr>
      <w:r>
        <w:rPr>
          <w:sz w:val="14"/>
          <w:szCs w:val="14"/>
        </w:rPr>
        <w:t>Copyright 2005 Gibson, McClure, Wallace &amp; Daniels,</w:t>
      </w:r>
      <w:r>
        <w:rPr>
          <w:spacing w:val="-20"/>
          <w:sz w:val="14"/>
          <w:szCs w:val="14"/>
        </w:rPr>
        <w:t xml:space="preserve"> </w:t>
      </w:r>
      <w:r>
        <w:rPr>
          <w:sz w:val="14"/>
          <w:szCs w:val="14"/>
        </w:rPr>
        <w:t>L.L.P.</w:t>
      </w:r>
    </w:p>
    <w:p w:rsidR="00560E8E" w:rsidRDefault="00560E8E">
      <w:pPr>
        <w:pStyle w:val="BodyText"/>
        <w:kinsoku w:val="0"/>
        <w:overflowPunct w:val="0"/>
        <w:spacing w:before="0"/>
        <w:ind w:left="4623" w:right="4263"/>
        <w:jc w:val="center"/>
        <w:rPr>
          <w:sz w:val="20"/>
          <w:szCs w:val="20"/>
        </w:rPr>
      </w:pPr>
      <w:r>
        <w:rPr>
          <w:sz w:val="20"/>
          <w:szCs w:val="20"/>
        </w:rPr>
        <w:t>7</w:t>
      </w:r>
    </w:p>
    <w:sectPr w:rsidR="00560E8E">
      <w:footerReference w:type="default" r:id="rId9"/>
      <w:pgSz w:w="12240" w:h="15840"/>
      <w:pgMar w:top="1220" w:right="1260" w:bottom="280" w:left="900" w:header="0" w:footer="0" w:gutter="0"/>
      <w:cols w:space="720" w:equalWidth="0">
        <w:col w:w="10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8E" w:rsidRDefault="00560E8E">
      <w:r>
        <w:separator/>
      </w:r>
    </w:p>
  </w:endnote>
  <w:endnote w:type="continuationSeparator" w:id="0">
    <w:p w:rsidR="00560E8E" w:rsidRDefault="0056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D6917">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9559925</wp:posOffset>
              </wp:positionV>
              <wp:extent cx="2214245" cy="1149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60E8E">
                          <w:pPr>
                            <w:pStyle w:val="BodyText"/>
                            <w:kinsoku w:val="0"/>
                            <w:overflowPunct w:val="0"/>
                            <w:spacing w:before="2"/>
                            <w:ind w:left="20"/>
                            <w:rPr>
                              <w:sz w:val="14"/>
                              <w:szCs w:val="14"/>
                            </w:rPr>
                          </w:pPr>
                          <w:r>
                            <w:rPr>
                              <w:sz w:val="14"/>
                              <w:szCs w:val="14"/>
                            </w:rPr>
                            <w:t>Copyright 2007 Gibson, McClure, Wallace &amp; Daniels,</w:t>
                          </w:r>
                          <w:r>
                            <w:rPr>
                              <w:spacing w:val="-20"/>
                              <w:sz w:val="14"/>
                              <w:szCs w:val="14"/>
                            </w:rPr>
                            <w:t xml:space="preserve"> </w:t>
                          </w:r>
                          <w:r>
                            <w:rPr>
                              <w:sz w:val="14"/>
                              <w:szCs w:val="14"/>
                            </w:rPr>
                            <w:t>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52.75pt;width:174.35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" o:allowincell="f" filled="f" stroked="f">
              <v:textbox inset="0,0,0,0">
                <w:txbxContent>
                  <w:p w:rsidR="00000000" w:rsidRDefault="00560E8E">
                    <w:pPr>
                      <w:pStyle w:val="BodyText"/>
                      <w:kinsoku w:val="0"/>
                      <w:overflowPunct w:val="0"/>
                      <w:spacing w:before="2"/>
                      <w:ind w:left="20"/>
                      <w:rPr>
                        <w:sz w:val="14"/>
                        <w:szCs w:val="14"/>
                      </w:rPr>
                    </w:pPr>
                    <w:r>
                      <w:rPr>
                        <w:sz w:val="14"/>
                        <w:szCs w:val="14"/>
                      </w:rPr>
                      <w:t>Copyright 2007 Gibson, McClure, Wallace &amp; Daniels,</w:t>
                    </w:r>
                    <w:r>
                      <w:rPr>
                        <w:spacing w:val="-20"/>
                        <w:sz w:val="14"/>
                        <w:szCs w:val="14"/>
                      </w:rPr>
                      <w:t xml:space="preserve"> </w:t>
                    </w:r>
                    <w:r>
                      <w:rPr>
                        <w:sz w:val="14"/>
                        <w:szCs w:val="14"/>
                      </w:rPr>
                      <w:t>L.L.P.</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5931535</wp:posOffset>
              </wp:positionH>
              <wp:positionV relativeFrom="page">
                <wp:posOffset>9667240</wp:posOffset>
              </wp:positionV>
              <wp:extent cx="901065" cy="153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60E8E">
                          <w:pPr>
                            <w:pStyle w:val="BodyText"/>
                            <w:kinsoku w:val="0"/>
                            <w:overflowPunct w:val="0"/>
                            <w:spacing w:before="0" w:line="225" w:lineRule="exact"/>
                            <w:ind w:left="20"/>
                            <w:rPr>
                              <w:rFonts w:ascii="Arial" w:hAnsi="Arial" w:cs="Arial"/>
                              <w:sz w:val="20"/>
                              <w:szCs w:val="20"/>
                            </w:rPr>
                          </w:pPr>
                          <w:r>
                            <w:rPr>
                              <w:rFonts w:ascii="Arial" w:hAnsi="Arial" w:cs="Arial"/>
                              <w:sz w:val="20"/>
                              <w:szCs w:val="20"/>
                            </w:rPr>
                            <w:t xml:space="preserve">SLARB0608 </w:t>
                          </w:r>
                          <w:r>
                            <w:rPr>
                              <w:rFonts w:ascii="Arial" w:hAnsi="Arial" w:cs="Arial"/>
                              <w:spacing w:val="54"/>
                              <w:sz w:val="20"/>
                              <w:szCs w:val="20"/>
                            </w:rPr>
                            <w:t xml:space="preserve"> </w:t>
                          </w:r>
                          <w:r>
                            <w:rPr>
                              <w:rFonts w:ascii="Arial" w:hAnsi="Arial" w:cs="Arial"/>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7.05pt;margin-top:761.2pt;width:70.9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a0rwIAAK8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" o:allowincell="f" filled="f" stroked="f">
              <v:textbox inset="0,0,0,0">
                <w:txbxContent>
                  <w:p w:rsidR="00000000" w:rsidRDefault="00560E8E">
                    <w:pPr>
                      <w:pStyle w:val="BodyText"/>
                      <w:kinsoku w:val="0"/>
                      <w:overflowPunct w:val="0"/>
                      <w:spacing w:before="0" w:line="225" w:lineRule="exact"/>
                      <w:ind w:left="20"/>
                      <w:rPr>
                        <w:rFonts w:ascii="Arial" w:hAnsi="Arial" w:cs="Arial"/>
                        <w:sz w:val="20"/>
                        <w:szCs w:val="20"/>
                      </w:rPr>
                    </w:pPr>
                    <w:r>
                      <w:rPr>
                        <w:rFonts w:ascii="Arial" w:hAnsi="Arial" w:cs="Arial"/>
                        <w:sz w:val="20"/>
                        <w:szCs w:val="20"/>
                      </w:rPr>
                      <w:t xml:space="preserve">SLARB0608 </w:t>
                    </w:r>
                    <w:r>
                      <w:rPr>
                        <w:rFonts w:ascii="Arial" w:hAnsi="Arial" w:cs="Arial"/>
                        <w:spacing w:val="54"/>
                        <w:sz w:val="20"/>
                        <w:szCs w:val="20"/>
                      </w:rPr>
                      <w:t xml:space="preserve"> </w:t>
                    </w:r>
                    <w:r>
                      <w:rPr>
                        <w:rFonts w:ascii="Arial" w:hAnsi="Arial" w:cs="Arial"/>
                        <w:sz w:val="20"/>
                        <w:szCs w:val="20"/>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D6917">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901700</wp:posOffset>
              </wp:positionH>
              <wp:positionV relativeFrom="page">
                <wp:posOffset>9563100</wp:posOffset>
              </wp:positionV>
              <wp:extent cx="2214245" cy="114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60E8E">
                          <w:pPr>
                            <w:pStyle w:val="BodyText"/>
                            <w:kinsoku w:val="0"/>
                            <w:overflowPunct w:val="0"/>
                            <w:spacing w:before="2"/>
                            <w:ind w:left="20"/>
                            <w:rPr>
                              <w:sz w:val="14"/>
                              <w:szCs w:val="14"/>
                            </w:rPr>
                          </w:pPr>
                          <w:r>
                            <w:rPr>
                              <w:sz w:val="14"/>
                              <w:szCs w:val="14"/>
                            </w:rPr>
                            <w:t>Copyright 2007 Gibson, McClure, Wallace &amp; Daniels,</w:t>
                          </w:r>
                          <w:r>
                            <w:rPr>
                              <w:spacing w:val="-20"/>
                              <w:sz w:val="14"/>
                              <w:szCs w:val="14"/>
                            </w:rPr>
                            <w:t xml:space="preserve"> </w:t>
                          </w:r>
                          <w:r>
                            <w:rPr>
                              <w:sz w:val="14"/>
                              <w:szCs w:val="14"/>
                            </w:rPr>
                            <w:t>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753pt;width:174.35pt;height: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lY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" o:allowincell="f" filled="f" stroked="f">
              <v:textbox inset="0,0,0,0">
                <w:txbxContent>
                  <w:p w:rsidR="00000000" w:rsidRDefault="00560E8E">
                    <w:pPr>
                      <w:pStyle w:val="BodyText"/>
                      <w:kinsoku w:val="0"/>
                      <w:overflowPunct w:val="0"/>
                      <w:spacing w:before="2"/>
                      <w:ind w:left="20"/>
                      <w:rPr>
                        <w:sz w:val="14"/>
                        <w:szCs w:val="14"/>
                      </w:rPr>
                    </w:pPr>
                    <w:r>
                      <w:rPr>
                        <w:sz w:val="14"/>
                        <w:szCs w:val="14"/>
                      </w:rPr>
                      <w:t>Copyright 2007 Gibson, McClure, Wallace &amp; Daniels,</w:t>
                    </w:r>
                    <w:r>
                      <w:rPr>
                        <w:spacing w:val="-20"/>
                        <w:sz w:val="14"/>
                        <w:szCs w:val="14"/>
                      </w:rPr>
                      <w:t xml:space="preserve"> </w:t>
                    </w:r>
                    <w:r>
                      <w:rPr>
                        <w:sz w:val="14"/>
                        <w:szCs w:val="14"/>
                      </w:rPr>
                      <w:t>L.L.P.</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6004560</wp:posOffset>
              </wp:positionH>
              <wp:positionV relativeFrom="page">
                <wp:posOffset>9670415</wp:posOffset>
              </wp:positionV>
              <wp:extent cx="879475" cy="153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60E8E">
                          <w:pPr>
                            <w:pStyle w:val="BodyText"/>
                            <w:kinsoku w:val="0"/>
                            <w:overflowPunct w:val="0"/>
                            <w:spacing w:before="0" w:line="225" w:lineRule="exact"/>
                            <w:ind w:left="20"/>
                            <w:rPr>
                              <w:rFonts w:ascii="Arial" w:hAnsi="Arial" w:cs="Arial"/>
                              <w:sz w:val="20"/>
                              <w:szCs w:val="20"/>
                            </w:rPr>
                          </w:pPr>
                          <w:r>
                            <w:rPr>
                              <w:rFonts w:ascii="Arial" w:hAnsi="Arial" w:cs="Arial"/>
                              <w:sz w:val="20"/>
                              <w:szCs w:val="20"/>
                            </w:rPr>
                            <w:t>SLARB</w:t>
                          </w:r>
                          <w:r>
                            <w:rPr>
                              <w:rFonts w:ascii="Arial" w:hAnsi="Arial" w:cs="Arial"/>
                              <w:spacing w:val="1"/>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sidR="00DD6917">
                            <w:rPr>
                              <w:rFonts w:ascii="Arial" w:hAnsi="Arial" w:cs="Arial"/>
                              <w:sz w:val="20"/>
                              <w:szCs w:val="20"/>
                            </w:rPr>
                            <w:fldChar w:fldCharType="separate"/>
                          </w:r>
                          <w:r w:rsidR="00DD6917">
                            <w:rPr>
                              <w:rFonts w:ascii="Arial" w:hAnsi="Arial" w:cs="Arial"/>
                              <w:noProof/>
                              <w:sz w:val="20"/>
                              <w:szCs w:val="20"/>
                            </w:rPr>
                            <w:t>6086</w:t>
                          </w:r>
                          <w:r>
                            <w:rPr>
                              <w:rFonts w:ascii="Arial" w:hAnsi="Arial" w:cs="Arial"/>
                              <w:sz w:val="20"/>
                              <w:szCs w:val="20"/>
                            </w:rPr>
                            <w:fldChar w:fldCharType="end"/>
                          </w:r>
                          <w:r>
                            <w:rPr>
                              <w:rFonts w:ascii="Arial" w:hAnsi="Arial" w:cs="Arial"/>
                              <w:spacing w:val="-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72.8pt;margin-top:761.45pt;width:69.25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zrw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" o:allowincell="f" filled="f" stroked="f">
              <v:textbox inset="0,0,0,0">
                <w:txbxContent>
                  <w:p w:rsidR="00000000" w:rsidRDefault="00560E8E">
                    <w:pPr>
                      <w:pStyle w:val="BodyText"/>
                      <w:kinsoku w:val="0"/>
                      <w:overflowPunct w:val="0"/>
                      <w:spacing w:before="0" w:line="225" w:lineRule="exact"/>
                      <w:ind w:left="20"/>
                      <w:rPr>
                        <w:rFonts w:ascii="Arial" w:hAnsi="Arial" w:cs="Arial"/>
                        <w:sz w:val="20"/>
                        <w:szCs w:val="20"/>
                      </w:rPr>
                    </w:pPr>
                    <w:r>
                      <w:rPr>
                        <w:rFonts w:ascii="Arial" w:hAnsi="Arial" w:cs="Arial"/>
                        <w:sz w:val="20"/>
                        <w:szCs w:val="20"/>
                      </w:rPr>
                      <w:t>SLARB</w:t>
                    </w:r>
                    <w:r>
                      <w:rPr>
                        <w:rFonts w:ascii="Arial" w:hAnsi="Arial" w:cs="Arial"/>
                        <w:spacing w:val="1"/>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sidR="00DD6917">
                      <w:rPr>
                        <w:rFonts w:ascii="Arial" w:hAnsi="Arial" w:cs="Arial"/>
                        <w:sz w:val="20"/>
                        <w:szCs w:val="20"/>
                      </w:rPr>
                      <w:fldChar w:fldCharType="separate"/>
                    </w:r>
                    <w:r w:rsidR="00DD6917">
                      <w:rPr>
                        <w:rFonts w:ascii="Arial" w:hAnsi="Arial" w:cs="Arial"/>
                        <w:noProof/>
                        <w:sz w:val="20"/>
                        <w:szCs w:val="20"/>
                      </w:rPr>
                      <w:t>6086</w:t>
                    </w:r>
                    <w:r>
                      <w:rPr>
                        <w:rFonts w:ascii="Arial" w:hAnsi="Arial" w:cs="Arial"/>
                        <w:sz w:val="20"/>
                        <w:szCs w:val="20"/>
                      </w:rPr>
                      <w:fldChar w:fldCharType="end"/>
                    </w:r>
                    <w:r>
                      <w:rPr>
                        <w:rFonts w:ascii="Arial" w:hAnsi="Arial" w:cs="Arial"/>
                        <w:spacing w:val="-2"/>
                        <w:sz w:val="20"/>
                        <w:szCs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0E8E">
    <w:pPr>
      <w:pStyle w:val="BodyText"/>
      <w:kinsoku w:val="0"/>
      <w:overflowPunct w:val="0"/>
      <w:spacing w:before="0" w:line="14" w:lineRule="auto"/>
      <w:ind w:left="0"/>
      <w:rPr>
        <w:rFonts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8E" w:rsidRDefault="00560E8E">
      <w:r>
        <w:separator/>
      </w:r>
    </w:p>
  </w:footnote>
  <w:footnote w:type="continuationSeparator" w:id="0">
    <w:p w:rsidR="00560E8E" w:rsidRDefault="00560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68" w:hanging="720"/>
      </w:pPr>
      <w:rPr>
        <w:rFonts w:ascii="Arial" w:hAnsi="Arial" w:cs="Arial"/>
        <w:b w:val="0"/>
        <w:bCs w:val="0"/>
        <w:spacing w:val="-2"/>
        <w:w w:val="99"/>
        <w:sz w:val="24"/>
        <w:szCs w:val="24"/>
      </w:rPr>
    </w:lvl>
    <w:lvl w:ilvl="1">
      <w:start w:val="1"/>
      <w:numFmt w:val="lowerLetter"/>
      <w:lvlText w:val="%2."/>
      <w:lvlJc w:val="left"/>
      <w:pPr>
        <w:ind w:left="1588" w:hanging="721"/>
      </w:pPr>
      <w:rPr>
        <w:rFonts w:ascii="Times New Roman" w:hAnsi="Times New Roman" w:cs="Times New Roman"/>
        <w:b/>
        <w:bCs/>
        <w:spacing w:val="-7"/>
        <w:w w:val="99"/>
        <w:sz w:val="24"/>
        <w:szCs w:val="24"/>
      </w:rPr>
    </w:lvl>
    <w:lvl w:ilvl="2">
      <w:start w:val="1"/>
      <w:numFmt w:val="lowerRoman"/>
      <w:lvlText w:val="(%3)"/>
      <w:lvlJc w:val="left"/>
      <w:pPr>
        <w:ind w:left="2268" w:hanging="720"/>
      </w:pPr>
      <w:rPr>
        <w:rFonts w:ascii="Times New Roman" w:hAnsi="Times New Roman" w:cs="Times New Roman"/>
        <w:b w:val="0"/>
        <w:bCs w:val="0"/>
        <w:spacing w:val="-2"/>
        <w:w w:val="99"/>
        <w:sz w:val="24"/>
        <w:szCs w:val="24"/>
      </w:rPr>
    </w:lvl>
    <w:lvl w:ilvl="3">
      <w:numFmt w:val="bullet"/>
      <w:lvlText w:val="•"/>
      <w:lvlJc w:val="left"/>
      <w:pPr>
        <w:ind w:left="2260" w:hanging="720"/>
      </w:pPr>
    </w:lvl>
    <w:lvl w:ilvl="4">
      <w:numFmt w:val="bullet"/>
      <w:lvlText w:val="•"/>
      <w:lvlJc w:val="left"/>
      <w:pPr>
        <w:ind w:left="3428" w:hanging="720"/>
      </w:pPr>
    </w:lvl>
    <w:lvl w:ilvl="5">
      <w:numFmt w:val="bullet"/>
      <w:lvlText w:val="•"/>
      <w:lvlJc w:val="left"/>
      <w:pPr>
        <w:ind w:left="4597" w:hanging="720"/>
      </w:pPr>
    </w:lvl>
    <w:lvl w:ilvl="6">
      <w:numFmt w:val="bullet"/>
      <w:lvlText w:val="•"/>
      <w:lvlJc w:val="left"/>
      <w:pPr>
        <w:ind w:left="5765" w:hanging="720"/>
      </w:pPr>
    </w:lvl>
    <w:lvl w:ilvl="7">
      <w:numFmt w:val="bullet"/>
      <w:lvlText w:val="•"/>
      <w:lvlJc w:val="left"/>
      <w:pPr>
        <w:ind w:left="6934" w:hanging="720"/>
      </w:pPr>
    </w:lvl>
    <w:lvl w:ilvl="8">
      <w:numFmt w:val="bullet"/>
      <w:lvlText w:val="•"/>
      <w:lvlJc w:val="left"/>
      <w:pPr>
        <w:ind w:left="8102" w:hanging="720"/>
      </w:pPr>
    </w:lvl>
  </w:abstractNum>
  <w:abstractNum w:abstractNumId="1">
    <w:nsid w:val="00000403"/>
    <w:multiLevelType w:val="multilevel"/>
    <w:tmpl w:val="00000886"/>
    <w:lvl w:ilvl="0">
      <w:start w:val="2"/>
      <w:numFmt w:val="lowerLetter"/>
      <w:lvlText w:val="%1."/>
      <w:lvlJc w:val="left"/>
      <w:pPr>
        <w:ind w:left="1548" w:hanging="721"/>
      </w:pPr>
      <w:rPr>
        <w:rFonts w:ascii="Arial" w:hAnsi="Arial" w:cs="Arial"/>
        <w:b/>
        <w:bCs/>
        <w:spacing w:val="-1"/>
        <w:w w:val="100"/>
        <w:sz w:val="20"/>
        <w:szCs w:val="20"/>
      </w:rPr>
    </w:lvl>
    <w:lvl w:ilvl="1">
      <w:start w:val="1"/>
      <w:numFmt w:val="lowerRoman"/>
      <w:lvlText w:val="(%2)"/>
      <w:lvlJc w:val="left"/>
      <w:pPr>
        <w:ind w:left="2268" w:hanging="720"/>
      </w:pPr>
      <w:rPr>
        <w:rFonts w:ascii="Times New Roman" w:hAnsi="Times New Roman" w:cs="Times New Roman"/>
        <w:b/>
        <w:bCs/>
        <w:spacing w:val="-3"/>
        <w:w w:val="99"/>
        <w:sz w:val="24"/>
        <w:szCs w:val="24"/>
      </w:rPr>
    </w:lvl>
    <w:lvl w:ilvl="2">
      <w:numFmt w:val="bullet"/>
      <w:lvlText w:val="•"/>
      <w:lvlJc w:val="left"/>
      <w:pPr>
        <w:ind w:left="3168" w:hanging="720"/>
      </w:pPr>
    </w:lvl>
    <w:lvl w:ilvl="3">
      <w:numFmt w:val="bullet"/>
      <w:lvlText w:val="•"/>
      <w:lvlJc w:val="left"/>
      <w:pPr>
        <w:ind w:left="4077" w:hanging="720"/>
      </w:pPr>
    </w:lvl>
    <w:lvl w:ilvl="4">
      <w:numFmt w:val="bullet"/>
      <w:lvlText w:val="•"/>
      <w:lvlJc w:val="left"/>
      <w:pPr>
        <w:ind w:left="4986" w:hanging="720"/>
      </w:pPr>
    </w:lvl>
    <w:lvl w:ilvl="5">
      <w:numFmt w:val="bullet"/>
      <w:lvlText w:val="•"/>
      <w:lvlJc w:val="left"/>
      <w:pPr>
        <w:ind w:left="5895" w:hanging="720"/>
      </w:pPr>
    </w:lvl>
    <w:lvl w:ilvl="6">
      <w:numFmt w:val="bullet"/>
      <w:lvlText w:val="•"/>
      <w:lvlJc w:val="left"/>
      <w:pPr>
        <w:ind w:left="6804" w:hanging="720"/>
      </w:pPr>
    </w:lvl>
    <w:lvl w:ilvl="7">
      <w:numFmt w:val="bullet"/>
      <w:lvlText w:val="•"/>
      <w:lvlJc w:val="left"/>
      <w:pPr>
        <w:ind w:left="7713" w:hanging="720"/>
      </w:pPr>
    </w:lvl>
    <w:lvl w:ilvl="8">
      <w:numFmt w:val="bullet"/>
      <w:lvlText w:val="•"/>
      <w:lvlJc w:val="left"/>
      <w:pPr>
        <w:ind w:left="8622" w:hanging="720"/>
      </w:pPr>
    </w:lvl>
  </w:abstractNum>
  <w:abstractNum w:abstractNumId="2">
    <w:nsid w:val="00000404"/>
    <w:multiLevelType w:val="multilevel"/>
    <w:tmpl w:val="00000887"/>
    <w:lvl w:ilvl="0">
      <w:start w:val="12"/>
      <w:numFmt w:val="decimal"/>
      <w:lvlText w:val="%1."/>
      <w:lvlJc w:val="left"/>
      <w:pPr>
        <w:ind w:left="828" w:hanging="720"/>
      </w:pPr>
      <w:rPr>
        <w:rFonts w:ascii="Times New Roman" w:hAnsi="Times New Roman" w:cs="Times New Roman"/>
        <w:b w:val="0"/>
        <w:bCs w:val="0"/>
        <w:spacing w:val="-1"/>
        <w:w w:val="99"/>
        <w:sz w:val="24"/>
        <w:szCs w:val="24"/>
      </w:rPr>
    </w:lvl>
    <w:lvl w:ilvl="1">
      <w:numFmt w:val="bullet"/>
      <w:lvlText w:val="•"/>
      <w:lvlJc w:val="left"/>
      <w:pPr>
        <w:ind w:left="1782" w:hanging="720"/>
      </w:pPr>
    </w:lvl>
    <w:lvl w:ilvl="2">
      <w:numFmt w:val="bullet"/>
      <w:lvlText w:val="•"/>
      <w:lvlJc w:val="left"/>
      <w:pPr>
        <w:ind w:left="2744" w:hanging="720"/>
      </w:pPr>
    </w:lvl>
    <w:lvl w:ilvl="3">
      <w:numFmt w:val="bullet"/>
      <w:lvlText w:val="•"/>
      <w:lvlJc w:val="left"/>
      <w:pPr>
        <w:ind w:left="3706" w:hanging="720"/>
      </w:pPr>
    </w:lvl>
    <w:lvl w:ilvl="4">
      <w:numFmt w:val="bullet"/>
      <w:lvlText w:val="•"/>
      <w:lvlJc w:val="left"/>
      <w:pPr>
        <w:ind w:left="4668" w:hanging="720"/>
      </w:pPr>
    </w:lvl>
    <w:lvl w:ilvl="5">
      <w:numFmt w:val="bullet"/>
      <w:lvlText w:val="•"/>
      <w:lvlJc w:val="left"/>
      <w:pPr>
        <w:ind w:left="5630" w:hanging="720"/>
      </w:pPr>
    </w:lvl>
    <w:lvl w:ilvl="6">
      <w:numFmt w:val="bullet"/>
      <w:lvlText w:val="•"/>
      <w:lvlJc w:val="left"/>
      <w:pPr>
        <w:ind w:left="6592" w:hanging="720"/>
      </w:pPr>
    </w:lvl>
    <w:lvl w:ilvl="7">
      <w:numFmt w:val="bullet"/>
      <w:lvlText w:val="•"/>
      <w:lvlJc w:val="left"/>
      <w:pPr>
        <w:ind w:left="7554" w:hanging="720"/>
      </w:pPr>
    </w:lvl>
    <w:lvl w:ilvl="8">
      <w:numFmt w:val="bullet"/>
      <w:lvlText w:val="•"/>
      <w:lvlJc w:val="left"/>
      <w:pPr>
        <w:ind w:left="8516"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7"/>
    <w:rsid w:val="00560E8E"/>
    <w:rsid w:val="00DD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D0F75C4-9C15-4B89-ABCF-DA4293F0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828" w:hanging="720"/>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548"/>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MD SHAJEDUL ISLAM</cp:lastModifiedBy>
  <cp:revision>2</cp:revision>
  <dcterms:created xsi:type="dcterms:W3CDTF">2021-02-28T14:25:00Z</dcterms:created>
  <dcterms:modified xsi:type="dcterms:W3CDTF">2021-02-28T14:25:00Z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