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6840" w:type="dxa"/>
        <w:tblLook w:val="04A0" w:firstRow="1" w:lastRow="0" w:firstColumn="1" w:lastColumn="0" w:noHBand="0" w:noVBand="1"/>
      </w:tblPr>
      <w:tblGrid>
        <w:gridCol w:w="300"/>
        <w:gridCol w:w="690"/>
        <w:gridCol w:w="1620"/>
        <w:gridCol w:w="960"/>
        <w:gridCol w:w="1020"/>
        <w:gridCol w:w="1170"/>
        <w:gridCol w:w="900"/>
        <w:gridCol w:w="940"/>
        <w:gridCol w:w="1220"/>
        <w:gridCol w:w="1000"/>
        <w:gridCol w:w="1160"/>
        <w:gridCol w:w="990"/>
        <w:gridCol w:w="1165"/>
        <w:gridCol w:w="900"/>
        <w:gridCol w:w="1085"/>
        <w:gridCol w:w="1420"/>
        <w:gridCol w:w="300"/>
      </w:tblGrid>
      <w:tr w:rsidR="004746B2" w:rsidRPr="004746B2" w:rsidTr="004746B2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C2C0E8" wp14:editId="406F84C9">
                  <wp:simplePos x="0" y="0"/>
                  <wp:positionH relativeFrom="page">
                    <wp:posOffset>152400</wp:posOffset>
                  </wp:positionH>
                  <wp:positionV relativeFrom="page">
                    <wp:posOffset>71120</wp:posOffset>
                  </wp:positionV>
                  <wp:extent cx="855345" cy="172720"/>
                  <wp:effectExtent l="0" t="0" r="1905" b="0"/>
                  <wp:wrapNone/>
                  <wp:docPr id="7" name="Picture 6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6B2"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EA76F6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00" w:type="dxa"/>
            <w:gridSpan w:val="5"/>
            <w:tcBorders>
              <w:top w:val="single" w:sz="8" w:space="0" w:color="FFC000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C000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PORTFOLIO SECTOR WEIGHTS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A39332" wp14:editId="5152CC7D">
                  <wp:simplePos x="0" y="0"/>
                  <wp:positionH relativeFrom="page">
                    <wp:posOffset>1200150</wp:posOffset>
                  </wp:positionH>
                  <wp:positionV relativeFrom="page">
                    <wp:posOffset>-196215</wp:posOffset>
                  </wp:positionV>
                  <wp:extent cx="1851025" cy="1861185"/>
                  <wp:effectExtent l="0" t="0" r="0" b="571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Energy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$10,535.78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16.86%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Materials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$9,315.00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14.90%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Industrials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Utilities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Healthcare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$10,580.00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16.93%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Financials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$9,600.00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15.36%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Consumer Discretionary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Consumer Staples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$9,750.00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15.60%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96"/>
                <w:szCs w:val="9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Information Technology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FFC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Communication Services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68"/>
                <w:szCs w:val="68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color w:val="FFFFFF"/>
                <w:sz w:val="68"/>
                <w:szCs w:val="68"/>
                <w:lang w:eastAsia="en-GB"/>
              </w:rPr>
              <w:t>FINANCIAL PORTFOLIO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Real Estate</w:t>
            </w:r>
          </w:p>
        </w:tc>
        <w:tc>
          <w:tcPr>
            <w:tcW w:w="2065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$12,725.44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20.36%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523687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68"/>
                <w:szCs w:val="68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FFC000"/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$62,506.22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BEBE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52368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68"/>
                <w:szCs w:val="68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5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8" w:space="0" w:color="FFC000"/>
              <w:left w:val="single" w:sz="8" w:space="0" w:color="FFC000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162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Sector</w:t>
            </w:r>
          </w:p>
        </w:tc>
        <w:tc>
          <w:tcPr>
            <w:tcW w:w="96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Total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Shares</w:t>
            </w:r>
          </w:p>
        </w:tc>
        <w:tc>
          <w:tcPr>
            <w:tcW w:w="102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Current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Share Price</w:t>
            </w:r>
          </w:p>
        </w:tc>
        <w:tc>
          <w:tcPr>
            <w:tcW w:w="117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Purchase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Price</w:t>
            </w:r>
          </w:p>
        </w:tc>
        <w:tc>
          <w:tcPr>
            <w:tcW w:w="90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Fees</w:t>
            </w:r>
          </w:p>
        </w:tc>
        <w:tc>
          <w:tcPr>
            <w:tcW w:w="94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Quarterly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Dividend</w:t>
            </w:r>
          </w:p>
        </w:tc>
        <w:tc>
          <w:tcPr>
            <w:tcW w:w="122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Market Value</w:t>
            </w:r>
          </w:p>
        </w:tc>
        <w:tc>
          <w:tcPr>
            <w:tcW w:w="100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Purchase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Price (</w:t>
            </w:r>
            <w:proofErr w:type="spellStart"/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Avg</w:t>
            </w:r>
            <w:proofErr w:type="spellEnd"/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6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Total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Return</w:t>
            </w:r>
          </w:p>
        </w:tc>
        <w:tc>
          <w:tcPr>
            <w:tcW w:w="99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%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Return</w:t>
            </w:r>
          </w:p>
        </w:tc>
        <w:tc>
          <w:tcPr>
            <w:tcW w:w="116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Current Yield</w:t>
            </w:r>
          </w:p>
        </w:tc>
        <w:tc>
          <w:tcPr>
            <w:tcW w:w="90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 xml:space="preserve">Yield On 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Cost</w:t>
            </w:r>
          </w:p>
        </w:tc>
        <w:tc>
          <w:tcPr>
            <w:tcW w:w="108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Portfolio</w:t>
            </w: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br/>
              <w:t>Weighting</w:t>
            </w:r>
          </w:p>
        </w:tc>
        <w:tc>
          <w:tcPr>
            <w:tcW w:w="1420" w:type="dxa"/>
            <w:tcBorders>
              <w:top w:val="single" w:sz="8" w:space="0" w:color="FFC000"/>
              <w:left w:val="nil"/>
              <w:bottom w:val="nil"/>
              <w:right w:val="single" w:sz="8" w:space="0" w:color="FFC000"/>
            </w:tcBorders>
            <w:shd w:val="clear" w:color="EFEFEF" w:fill="FFC000"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Estimated Annual  Dividend Income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FGT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Real Estate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395.2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$32.20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$12,600.00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$20.00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$2.00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$12,725.44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$31.88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$105.44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0.84%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24.84%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25.09%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20.36%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$3,161.60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PAXE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105.2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$10,535.78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$85.55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$1,485.78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16.51%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3.99%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4.68%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16.86%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$420.80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GSW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Healthcare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100.0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$10,500.00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$10,580.00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$30.00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0.29%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1.89%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1.90%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16.93%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$200.00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EIC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Financials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200.0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$48.00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$11,000.00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-$1,450.00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-13.18%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4.17%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3.64%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15.36%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$400.00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ALHO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Consumer Staples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150.0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$65.00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$9,800.00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$9,750.00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$65.33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-$100.00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-1.02%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15.60%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BBFT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Materials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$207.00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$10,000.00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$9,315.00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$222.22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-$735.00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-7.35%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14.90%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bookmarkStart w:id="0" w:name="_GoBack"/>
        <w:bookmarkEnd w:id="0"/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746B2" w:rsidRPr="004746B2" w:rsidTr="004746B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FFFFFF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FFFFF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2F2F2"/>
            <w:noWrap/>
            <w:vAlign w:val="center"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46B2" w:rsidRPr="004746B2" w:rsidRDefault="004746B2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76F6" w:rsidRPr="004746B2" w:rsidTr="00EA76F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EA76F6" w:rsidRDefault="00EA76F6" w:rsidP="00EA7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" w:history="1">
              <w:r w:rsidRPr="00EA76F6">
                <w:rPr>
                  <w:rStyle w:val="Hyperlink"/>
                  <w:rFonts w:ascii="Arial" w:eastAsia="Calibri" w:hAnsi="Arial" w:cs="Arial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EA76F6" w:rsidRPr="004746B2" w:rsidRDefault="00EA76F6" w:rsidP="00EA76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76F6" w:rsidRPr="004746B2" w:rsidTr="00666B80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92846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76F6" w:rsidRPr="004746B2" w:rsidRDefault="00EA76F6" w:rsidP="00474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746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617500" w:rsidRPr="004746B2" w:rsidRDefault="00617500">
      <w:pPr>
        <w:rPr>
          <w:sz w:val="2"/>
        </w:rPr>
      </w:pPr>
    </w:p>
    <w:sectPr w:rsidR="00617500" w:rsidRPr="004746B2" w:rsidSect="004746B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B2"/>
    <w:rsid w:val="004746B2"/>
    <w:rsid w:val="00617500"/>
    <w:rsid w:val="00AA6659"/>
    <w:rsid w:val="00E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C5EB"/>
  <w15:chartTrackingRefBased/>
  <w15:docId w15:val="{C6251BDD-BA7F-4233-87A2-6DB97A8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2021-04-02T15:26:00Z</dcterms:created>
  <dcterms:modified xsi:type="dcterms:W3CDTF">2021-04-02T15:36:00Z</dcterms:modified>
</cp:coreProperties>
</file>