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68" w:rsidRDefault="00CE6968" w:rsidP="00610C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color w:val="000000"/>
          <w:lang w:val="en-GB" w:eastAsia="en-AU"/>
        </w:rPr>
      </w:pPr>
    </w:p>
    <w:p w:rsidR="00610CC6" w:rsidRPr="00CE6968" w:rsidRDefault="00D65CE1" w:rsidP="00610C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Arial"/>
          <w:b/>
          <w:color w:val="000000"/>
          <w:sz w:val="24"/>
          <w:szCs w:val="24"/>
          <w:lang w:val="en-GB" w:eastAsia="en-AU"/>
        </w:rPr>
      </w:pPr>
      <w:r w:rsidRPr="00CE6968">
        <w:rPr>
          <w:rFonts w:cs="Arial"/>
          <w:b/>
          <w:color w:val="000000"/>
          <w:sz w:val="24"/>
          <w:szCs w:val="24"/>
          <w:lang w:val="en-GB" w:eastAsia="en-AU"/>
        </w:rPr>
        <w:t xml:space="preserve">Risk Rating Matrix </w:t>
      </w:r>
    </w:p>
    <w:p w:rsidR="00D65CE1" w:rsidRDefault="00CE6968" w:rsidP="00610C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color w:val="000000"/>
          <w:lang w:val="en-GB" w:eastAsia="en-AU"/>
        </w:rPr>
      </w:pPr>
      <w:r>
        <w:rPr>
          <w:rFonts w:ascii="Calibri" w:hAnsi="Calibri" w:cs="Calibri"/>
          <w:color w:val="000000"/>
          <w:lang w:val="en-GB" w:eastAsia="en-AU"/>
        </w:rPr>
        <w:t>The risk matrix could be used as a tool when considering risks associated with LDM activities and plans in communities. For each context, a shared definition of each consequence classification should be developed.</w:t>
      </w:r>
    </w:p>
    <w:tbl>
      <w:tblPr>
        <w:tblStyle w:val="TableGrid1"/>
        <w:tblpPr w:leftFromText="180" w:rightFromText="180" w:vertAnchor="page" w:horzAnchor="margin" w:tblpY="3433"/>
        <w:tblW w:w="14222" w:type="dxa"/>
        <w:tblBorders>
          <w:top w:val="none" w:sz="0" w:space="0" w:color="auto"/>
        </w:tblBorders>
        <w:tblLayout w:type="fixed"/>
        <w:tblLook w:val="01E0" w:firstRow="1" w:lastRow="1" w:firstColumn="1" w:lastColumn="1" w:noHBand="0" w:noVBand="0"/>
        <w:tblCaption w:val="Risk Matrix"/>
      </w:tblPr>
      <w:tblGrid>
        <w:gridCol w:w="619"/>
        <w:gridCol w:w="1855"/>
        <w:gridCol w:w="1925"/>
        <w:gridCol w:w="36"/>
        <w:gridCol w:w="275"/>
        <w:gridCol w:w="1011"/>
        <w:gridCol w:w="1700"/>
        <w:gridCol w:w="1700"/>
        <w:gridCol w:w="1700"/>
        <w:gridCol w:w="1700"/>
        <w:gridCol w:w="1701"/>
      </w:tblGrid>
      <w:tr w:rsidR="00CE6968" w:rsidRPr="00D65CE1" w:rsidTr="00CE6968">
        <w:trPr>
          <w:trHeight w:val="676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968" w:rsidRPr="00D65CE1" w:rsidRDefault="00CE6968" w:rsidP="00CE6968">
            <w:pPr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Consequence</w:t>
            </w:r>
          </w:p>
        </w:tc>
      </w:tr>
      <w:tr w:rsidR="00CE6968" w:rsidRPr="00D65CE1" w:rsidTr="00CE6968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968" w:rsidRPr="00D65CE1" w:rsidRDefault="00CE6968" w:rsidP="00CE6968">
            <w:pPr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Insignificant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Major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Catastrophic</w:t>
            </w:r>
          </w:p>
        </w:tc>
      </w:tr>
      <w:tr w:rsidR="00CE6968" w:rsidRPr="00D65CE1" w:rsidTr="00CE6968">
        <w:tc>
          <w:tcPr>
            <w:tcW w:w="619" w:type="dxa"/>
            <w:tcBorders>
              <w:top w:val="nil"/>
              <w:left w:val="nil"/>
              <w:bottom w:val="single" w:sz="4" w:space="0" w:color="auto"/>
            </w:tcBorders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Probability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Historical</w:t>
            </w:r>
          </w:p>
        </w:tc>
        <w:tc>
          <w:tcPr>
            <w:tcW w:w="311" w:type="dxa"/>
            <w:gridSpan w:val="2"/>
            <w:tcBorders>
              <w:top w:val="nil"/>
              <w:right w:val="nil"/>
            </w:tcBorders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CE6968" w:rsidRPr="00D65CE1" w:rsidTr="00CE6968"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E6E6E6"/>
            <w:textDirection w:val="btLr"/>
          </w:tcPr>
          <w:p w:rsidR="00CE6968" w:rsidRPr="00D65CE1" w:rsidRDefault="00CE6968" w:rsidP="00CE6968">
            <w:pPr>
              <w:spacing w:before="120" w:after="120"/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Likelihood</w:t>
            </w:r>
          </w:p>
        </w:tc>
        <w:tc>
          <w:tcPr>
            <w:tcW w:w="185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Annually or within one year</w:t>
            </w:r>
          </w:p>
        </w:tc>
        <w:tc>
          <w:tcPr>
            <w:tcW w:w="1925" w:type="dxa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Expected to occur in most circumstances</w:t>
            </w:r>
          </w:p>
        </w:tc>
        <w:tc>
          <w:tcPr>
            <w:tcW w:w="311" w:type="dxa"/>
            <w:gridSpan w:val="2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Almost Certain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0" w:type="dxa"/>
            <w:shd w:val="clear" w:color="auto" w:fill="C00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CE6968" w:rsidRPr="00D65CE1" w:rsidTr="00CE6968">
        <w:trPr>
          <w:trHeight w:val="571"/>
        </w:trPr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Within 3 years</w:t>
            </w:r>
          </w:p>
        </w:tc>
        <w:tc>
          <w:tcPr>
            <w:tcW w:w="192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Will probably occur</w:t>
            </w:r>
          </w:p>
        </w:tc>
        <w:tc>
          <w:tcPr>
            <w:tcW w:w="311" w:type="dxa"/>
            <w:gridSpan w:val="2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Likely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0" w:type="dxa"/>
            <w:shd w:val="clear" w:color="auto" w:fill="C00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CE6968" w:rsidRPr="00D65CE1" w:rsidTr="00CE6968">
        <w:trPr>
          <w:trHeight w:val="637"/>
        </w:trPr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Within 10 years</w:t>
            </w:r>
          </w:p>
        </w:tc>
        <w:tc>
          <w:tcPr>
            <w:tcW w:w="192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Might occur at some time in the future</w:t>
            </w:r>
          </w:p>
        </w:tc>
        <w:tc>
          <w:tcPr>
            <w:tcW w:w="311" w:type="dxa"/>
            <w:gridSpan w:val="2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Unlikely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15</w:t>
            </w:r>
          </w:p>
        </w:tc>
      </w:tr>
      <w:tr w:rsidR="00CE6968" w:rsidRPr="00D65CE1" w:rsidTr="00CE6968"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Within 30 years</w:t>
            </w:r>
          </w:p>
        </w:tc>
        <w:tc>
          <w:tcPr>
            <w:tcW w:w="192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Occurrence very doubtful</w:t>
            </w:r>
          </w:p>
        </w:tc>
        <w:tc>
          <w:tcPr>
            <w:tcW w:w="311" w:type="dxa"/>
            <w:gridSpan w:val="2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Highly Unlikely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10</w:t>
            </w:r>
          </w:p>
        </w:tc>
      </w:tr>
      <w:tr w:rsidR="00CE6968" w:rsidRPr="00D65CE1" w:rsidTr="00CE6968">
        <w:trPr>
          <w:trHeight w:val="839"/>
        </w:trPr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rPr>
                <w:rFonts w:ascii="Lato" w:hAnsi="Lato" w:cs="Arial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CE6968" w:rsidRPr="00D65CE1" w:rsidRDefault="00CE6968" w:rsidP="00CE6968">
            <w:pPr>
              <w:spacing w:before="120" w:after="12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Once in 100 years event</w:t>
            </w:r>
          </w:p>
        </w:tc>
        <w:tc>
          <w:tcPr>
            <w:tcW w:w="1925" w:type="dxa"/>
            <w:vAlign w:val="center"/>
          </w:tcPr>
          <w:p w:rsidR="00CE6968" w:rsidRPr="00D65CE1" w:rsidRDefault="00CE6968" w:rsidP="00CE6968">
            <w:pPr>
              <w:spacing w:before="60" w:after="60"/>
              <w:jc w:val="center"/>
              <w:rPr>
                <w:rFonts w:ascii="Lato" w:hAnsi="Lato" w:cs="Arial"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sz w:val="18"/>
                <w:szCs w:val="18"/>
                <w:lang w:val="en-US"/>
              </w:rPr>
              <w:t>Occurrence only in exceptional circumstances</w:t>
            </w:r>
          </w:p>
        </w:tc>
        <w:tc>
          <w:tcPr>
            <w:tcW w:w="311" w:type="dxa"/>
            <w:gridSpan w:val="2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E6E6E6"/>
          </w:tcPr>
          <w:p w:rsidR="00CE6968" w:rsidRPr="00D65CE1" w:rsidRDefault="00CE6968" w:rsidP="00CE6968">
            <w:pPr>
              <w:spacing w:before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D65CE1">
              <w:rPr>
                <w:rFonts w:ascii="Lato" w:hAnsi="Lato" w:cs="Arial"/>
                <w:b/>
                <w:sz w:val="18"/>
                <w:szCs w:val="18"/>
                <w:lang w:val="en-US"/>
              </w:rPr>
              <w:t>Rare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E6968" w:rsidRPr="00D65CE1" w:rsidRDefault="00CE6968" w:rsidP="00CE696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65CE1">
              <w:rPr>
                <w:rFonts w:ascii="Lato" w:hAnsi="Lato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D21553" w:rsidRDefault="00D21553" w:rsidP="00CE69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ore"/>
      </w:tblPr>
      <w:tblGrid>
        <w:gridCol w:w="851"/>
        <w:gridCol w:w="992"/>
        <w:gridCol w:w="3827"/>
      </w:tblGrid>
      <w:tr w:rsidR="00CE6968" w:rsidRPr="00BC6CD0" w:rsidTr="00CE6968">
        <w:tc>
          <w:tcPr>
            <w:tcW w:w="851" w:type="dxa"/>
          </w:tcPr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u w:val="single"/>
                <w:lang w:val="en-US"/>
              </w:rPr>
            </w:pPr>
            <w:bookmarkStart w:id="0" w:name="_GoBack" w:colFirst="0" w:colLast="3"/>
            <w:r w:rsidRPr="00BC6CD0">
              <w:rPr>
                <w:rFonts w:ascii="Lato" w:hAnsi="Lato" w:cs="Arial"/>
                <w:b/>
                <w:sz w:val="18"/>
                <w:szCs w:val="18"/>
                <w:u w:val="single"/>
                <w:lang w:val="en-US"/>
              </w:rPr>
              <w:t>Score</w:t>
            </w:r>
          </w:p>
        </w:tc>
        <w:tc>
          <w:tcPr>
            <w:tcW w:w="992" w:type="dxa"/>
          </w:tcPr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16 – 25</w:t>
            </w:r>
          </w:p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6 – 15</w:t>
            </w:r>
          </w:p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1 - 5</w:t>
            </w:r>
          </w:p>
        </w:tc>
        <w:tc>
          <w:tcPr>
            <w:tcW w:w="3827" w:type="dxa"/>
          </w:tcPr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H – High Risk –action within 3 months</w:t>
            </w:r>
          </w:p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M – Medium Risk – action within 6 to 12 months</w:t>
            </w:r>
          </w:p>
          <w:p w:rsidR="00CE6968" w:rsidRPr="00BC6CD0" w:rsidRDefault="00CE6968" w:rsidP="001E6CD8">
            <w:pPr>
              <w:spacing w:before="60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BC6CD0">
              <w:rPr>
                <w:rFonts w:ascii="Lato" w:hAnsi="Lato" w:cs="Arial"/>
                <w:b/>
                <w:sz w:val="18"/>
                <w:szCs w:val="18"/>
                <w:lang w:val="en-US"/>
              </w:rPr>
              <w:t>L – Low Risk – monitor</w:t>
            </w:r>
          </w:p>
        </w:tc>
      </w:tr>
      <w:bookmarkEnd w:id="0"/>
    </w:tbl>
    <w:p w:rsidR="00CE6968" w:rsidRDefault="00CE6968" w:rsidP="00CE6968"/>
    <w:tbl>
      <w:tblPr>
        <w:tblStyle w:val="TableGrid2"/>
        <w:tblpPr w:leftFromText="180" w:rightFromText="180" w:horzAnchor="margin" w:tblpY="871"/>
        <w:tblW w:w="5000" w:type="pct"/>
        <w:tblBorders>
          <w:top w:val="none" w:sz="0" w:space="0" w:color="auto"/>
        </w:tblBorders>
        <w:tblLayout w:type="fixed"/>
        <w:tblLook w:val="01E0" w:firstRow="1" w:lastRow="1" w:firstColumn="1" w:lastColumn="1" w:noHBand="0" w:noVBand="0"/>
        <w:tblCaption w:val="Consequence descriptions"/>
      </w:tblPr>
      <w:tblGrid>
        <w:gridCol w:w="2236"/>
        <w:gridCol w:w="2237"/>
        <w:gridCol w:w="2237"/>
        <w:gridCol w:w="2237"/>
        <w:gridCol w:w="2237"/>
        <w:gridCol w:w="2242"/>
      </w:tblGrid>
      <w:tr w:rsidR="00CE6968" w:rsidRPr="00CE6968" w:rsidTr="00CE696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lastRenderedPageBreak/>
              <w:t>Consequence descriptions</w:t>
            </w:r>
          </w:p>
        </w:tc>
      </w:tr>
      <w:tr w:rsidR="00CE6968" w:rsidRPr="00CE6968" w:rsidTr="00CE6968"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Insignificant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Minor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Major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E6E6E6"/>
          </w:tcPr>
          <w:p w:rsidR="00CE6968" w:rsidRPr="00CE6968" w:rsidRDefault="00CE6968" w:rsidP="00CE6968">
            <w:pPr>
              <w:spacing w:before="120" w:after="120"/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b/>
                <w:sz w:val="18"/>
                <w:szCs w:val="18"/>
                <w:lang w:val="en-US"/>
              </w:rPr>
              <w:t>Catastrophic</w:t>
            </w:r>
          </w:p>
        </w:tc>
      </w:tr>
      <w:tr w:rsidR="00CE6968" w:rsidRPr="00CE6968" w:rsidTr="00CE6968">
        <w:tc>
          <w:tcPr>
            <w:tcW w:w="833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Example: Strategic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No impact on strategy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Minimal impact on strategy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Strategy is impacted or requires change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Parts of strategy cannot be maintained</w:t>
            </w:r>
          </w:p>
        </w:tc>
        <w:tc>
          <w:tcPr>
            <w:tcW w:w="835" w:type="pct"/>
            <w:shd w:val="clear" w:color="auto" w:fill="DBE5F1" w:themeFill="accent1" w:themeFillTint="33"/>
            <w:vAlign w:val="center"/>
          </w:tcPr>
          <w:p w:rsidR="00CE6968" w:rsidRPr="00CE6968" w:rsidRDefault="00CE6968" w:rsidP="00CE6968">
            <w:pPr>
              <w:spacing w:before="120"/>
              <w:jc w:val="center"/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</w:pPr>
            <w:r w:rsidRPr="00CE6968">
              <w:rPr>
                <w:rFonts w:ascii="Lato" w:hAnsi="Lato" w:cs="Arial"/>
                <w:color w:val="0000FF"/>
                <w:sz w:val="18"/>
                <w:szCs w:val="18"/>
                <w:lang w:val="en-US"/>
              </w:rPr>
              <w:t>Strategic direction is not achieved at all</w:t>
            </w:r>
          </w:p>
        </w:tc>
      </w:tr>
      <w:tr w:rsidR="00CE6968" w:rsidRPr="00CE6968" w:rsidTr="00CE6968">
        <w:tc>
          <w:tcPr>
            <w:tcW w:w="833" w:type="pct"/>
          </w:tcPr>
          <w:p w:rsid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5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</w:tr>
      <w:tr w:rsidR="00CE6968" w:rsidRPr="00CE6968" w:rsidTr="00CE6968">
        <w:tc>
          <w:tcPr>
            <w:tcW w:w="833" w:type="pct"/>
          </w:tcPr>
          <w:p w:rsid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5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</w:tr>
      <w:tr w:rsidR="00CE6968" w:rsidRPr="00CE6968" w:rsidTr="00CE6968">
        <w:tc>
          <w:tcPr>
            <w:tcW w:w="833" w:type="pct"/>
          </w:tcPr>
          <w:p w:rsid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5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</w:tr>
      <w:tr w:rsidR="00CE6968" w:rsidRPr="00CE6968" w:rsidTr="00CE6968">
        <w:tc>
          <w:tcPr>
            <w:tcW w:w="833" w:type="pct"/>
          </w:tcPr>
          <w:p w:rsid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5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</w:tr>
      <w:tr w:rsidR="00CE6968" w:rsidRPr="00CE6968" w:rsidTr="00CE6968">
        <w:tc>
          <w:tcPr>
            <w:tcW w:w="833" w:type="pct"/>
          </w:tcPr>
          <w:p w:rsid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5" w:type="pct"/>
            <w:vAlign w:val="center"/>
          </w:tcPr>
          <w:p w:rsidR="00CE6968" w:rsidRPr="00CE6968" w:rsidRDefault="00CE6968" w:rsidP="00CE6968">
            <w:pPr>
              <w:jc w:val="center"/>
              <w:rPr>
                <w:rFonts w:ascii="Lato" w:hAnsi="Lato" w:cs="Arial"/>
                <w:b/>
                <w:sz w:val="18"/>
                <w:szCs w:val="18"/>
                <w:lang w:val="en-US"/>
              </w:rPr>
            </w:pPr>
          </w:p>
        </w:tc>
      </w:tr>
    </w:tbl>
    <w:p w:rsidR="00CE6968" w:rsidRPr="004601EE" w:rsidRDefault="00CE6968" w:rsidP="00CE6968"/>
    <w:sectPr w:rsidR="00CE6968" w:rsidRPr="004601EE" w:rsidSect="00CE696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25" w:rsidRDefault="00794225" w:rsidP="007332FF">
      <w:r>
        <w:separator/>
      </w:r>
    </w:p>
  </w:endnote>
  <w:endnote w:type="continuationSeparator" w:id="0">
    <w:p w:rsidR="00794225" w:rsidRDefault="0079422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A0749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</w:p>
  <w:p w:rsidR="00A07490" w:rsidRPr="004D1B76" w:rsidRDefault="00A07490" w:rsidP="00F35DB1">
    <w:pPr>
      <w:pStyle w:val="NTGFooter2deptpagenum"/>
      <w:tabs>
        <w:tab w:val="clear" w:pos="9639"/>
        <w:tab w:val="right" w:pos="10206"/>
      </w:tabs>
      <w:ind w:left="-567" w:right="-568"/>
      <w:jc w:val="center"/>
    </w:pP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26262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26262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705F13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VersionNo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841307"/>
      <w:docPartObj>
        <w:docPartGallery w:val="Page Numbers (Bottom of Page)"/>
        <w:docPartUnique/>
      </w:docPartObj>
    </w:sdtPr>
    <w:sdtEndPr/>
    <w:sdtContent>
      <w:sdt>
        <w:sdtPr>
          <w:id w:val="458312960"/>
          <w:docPartObj>
            <w:docPartGallery w:val="Page Numbers (Top of Page)"/>
            <w:docPartUnique/>
          </w:docPartObj>
        </w:sdtPr>
        <w:sdtEndPr/>
        <w:sdtContent>
          <w:p w:rsidR="00A459F3" w:rsidRDefault="00A459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2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2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490" w:rsidRPr="00610CC6" w:rsidRDefault="00A07490" w:rsidP="001576FC">
    <w:pPr>
      <w:pStyle w:val="NoSpacing"/>
      <w:ind w:right="-1134" w:hanging="561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25" w:rsidRDefault="00794225" w:rsidP="007332FF">
      <w:r>
        <w:separator/>
      </w:r>
    </w:p>
  </w:footnote>
  <w:footnote w:type="continuationSeparator" w:id="0">
    <w:p w:rsidR="00794225" w:rsidRDefault="0079422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9A1874" w:rsidP="002926BC">
    <w:pPr>
      <w:pStyle w:val="Header"/>
      <w:tabs>
        <w:tab w:val="clear" w:pos="9026"/>
      </w:tabs>
      <w:ind w:right="-568"/>
    </w:pPr>
    <w:fldSimple w:instr=" TITLE   \* MERGEFORMAT ">
      <w:r>
        <w:t>Local Decision Making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610CC6" w:rsidRDefault="00340FB4" w:rsidP="00C604B9">
    <w:pPr>
      <w:pStyle w:val="Title"/>
      <w:tabs>
        <w:tab w:val="left" w:pos="8376"/>
      </w:tabs>
      <w:rPr>
        <w:color w:val="FFFFFF"/>
      </w:rPr>
    </w:pPr>
    <w:r w:rsidRPr="00610CC6">
      <w:rPr>
        <w:noProof/>
        <w:color w:val="FFFFFF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ADECE" wp14:editId="3E225EAD">
              <wp:simplePos x="0" y="0"/>
              <wp:positionH relativeFrom="page">
                <wp:align>right</wp:align>
              </wp:positionH>
              <wp:positionV relativeFrom="paragraph">
                <wp:posOffset>-272415</wp:posOffset>
              </wp:positionV>
              <wp:extent cx="75600000" cy="1080000"/>
              <wp:effectExtent l="0" t="0" r="9525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D4A2F" id="Rectangle 205" o:spid="_x0000_s1026" style="position:absolute;margin-left:5901.55pt;margin-top:-21.45pt;width:5952.75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" fillcolor="#bd472a" stroked="f" strokeweight="2pt">
              <w10:wrap anchorx="page"/>
            </v:rect>
          </w:pict>
        </mc:Fallback>
      </mc:AlternateContent>
    </w:r>
    <w:sdt>
      <w:sdtPr>
        <w:rPr>
          <w:color w:val="FFFFFF" w:themeColor="background1"/>
        </w:rPr>
        <w:alias w:val="Title"/>
        <w:tag w:val=""/>
        <w:id w:val="11843989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6262">
          <w:rPr>
            <w:color w:val="FFFFFF" w:themeColor="background1"/>
          </w:rPr>
          <w:t>Risk matrix</w:t>
        </w:r>
      </w:sdtContent>
    </w:sdt>
    <w:r w:rsidR="0061779F" w:rsidRPr="00610CC6">
      <w:rPr>
        <w:color w:val="FFFFFF" w:themeColor="background1"/>
      </w:rPr>
      <w:t xml:space="preserve"> </w:t>
    </w:r>
    <w:r w:rsidR="00260467" w:rsidRPr="00610CC6">
      <w:rPr>
        <w:color w:val="FFFFFF"/>
      </w:rPr>
      <w:tab/>
    </w:r>
    <w:r w:rsidR="005B4244" w:rsidRPr="00610CC6">
      <w:rPr>
        <w:color w:val="FFFFFF"/>
      </w:rPr>
      <w:br/>
    </w:r>
    <w:r w:rsidR="009A1874">
      <w:rPr>
        <w:rFonts w:ascii="Arial" w:hAnsi="Arial"/>
        <w:color w:val="FFFFFF"/>
      </w:rPr>
      <w:t>7. Risk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3E5F78FB"/>
    <w:multiLevelType w:val="multilevel"/>
    <w:tmpl w:val="1BE8F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8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9" w15:restartNumberingAfterBreak="0">
    <w:nsid w:val="4B8F005A"/>
    <w:multiLevelType w:val="multilevel"/>
    <w:tmpl w:val="4E6AC8F6"/>
    <w:numStyleLink w:val="NTGStandardNumList"/>
  </w:abstractNum>
  <w:abstractNum w:abstractNumId="20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1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5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8" w15:restartNumberingAfterBreak="0">
    <w:nsid w:val="5B713B90"/>
    <w:multiLevelType w:val="multilevel"/>
    <w:tmpl w:val="4E6AC8F6"/>
    <w:numStyleLink w:val="NTGStandardNumList"/>
  </w:abstractNum>
  <w:abstractNum w:abstractNumId="29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0" w15:restartNumberingAfterBreak="0">
    <w:nsid w:val="5D042DCE"/>
    <w:multiLevelType w:val="multilevel"/>
    <w:tmpl w:val="4E6AC8F6"/>
    <w:numStyleLink w:val="NTGStandardNumList"/>
  </w:abstractNum>
  <w:abstractNum w:abstractNumId="31" w15:restartNumberingAfterBreak="0">
    <w:nsid w:val="606D0AB2"/>
    <w:multiLevelType w:val="multilevel"/>
    <w:tmpl w:val="4E6AC8F6"/>
    <w:numStyleLink w:val="NTGStandardNumList"/>
  </w:abstractNum>
  <w:abstractNum w:abstractNumId="32" w15:restartNumberingAfterBreak="0">
    <w:nsid w:val="61AD07BD"/>
    <w:multiLevelType w:val="multilevel"/>
    <w:tmpl w:val="4E6AC8F6"/>
    <w:numStyleLink w:val="NTGStandardNumList"/>
  </w:abstractNum>
  <w:abstractNum w:abstractNumId="33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4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5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7"/>
  </w:num>
  <w:num w:numId="9">
    <w:abstractNumId w:val="0"/>
  </w:num>
  <w:num w:numId="10">
    <w:abstractNumId w:val="15"/>
  </w:num>
  <w:num w:numId="11">
    <w:abstractNumId w:val="13"/>
  </w:num>
  <w:num w:numId="12">
    <w:abstractNumId w:val="18"/>
  </w:num>
  <w:num w:numId="13">
    <w:abstractNumId w:val="6"/>
  </w:num>
  <w:num w:numId="14">
    <w:abstractNumId w:val="14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4152"/>
    <w:rsid w:val="000D1F29"/>
    <w:rsid w:val="000F2958"/>
    <w:rsid w:val="00104E7F"/>
    <w:rsid w:val="001137EC"/>
    <w:rsid w:val="001152F5"/>
    <w:rsid w:val="00117743"/>
    <w:rsid w:val="00117F5B"/>
    <w:rsid w:val="00126262"/>
    <w:rsid w:val="00132658"/>
    <w:rsid w:val="00150DC0"/>
    <w:rsid w:val="00153967"/>
    <w:rsid w:val="00156CD4"/>
    <w:rsid w:val="001576FC"/>
    <w:rsid w:val="00164A3E"/>
    <w:rsid w:val="00171F24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E3921"/>
    <w:rsid w:val="001F59E6"/>
    <w:rsid w:val="00206936"/>
    <w:rsid w:val="00206C6F"/>
    <w:rsid w:val="00206FBD"/>
    <w:rsid w:val="00207746"/>
    <w:rsid w:val="00230031"/>
    <w:rsid w:val="00237F72"/>
    <w:rsid w:val="00247343"/>
    <w:rsid w:val="00260467"/>
    <w:rsid w:val="00265C56"/>
    <w:rsid w:val="002716CD"/>
    <w:rsid w:val="00271A52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435E"/>
    <w:rsid w:val="0030583E"/>
    <w:rsid w:val="00307FE1"/>
    <w:rsid w:val="00311A01"/>
    <w:rsid w:val="003258E6"/>
    <w:rsid w:val="0033459B"/>
    <w:rsid w:val="00340FB4"/>
    <w:rsid w:val="00342283"/>
    <w:rsid w:val="00343A87"/>
    <w:rsid w:val="00347FB6"/>
    <w:rsid w:val="003504FD"/>
    <w:rsid w:val="00350881"/>
    <w:rsid w:val="00357D55"/>
    <w:rsid w:val="00362B74"/>
    <w:rsid w:val="00363513"/>
    <w:rsid w:val="003657E5"/>
    <w:rsid w:val="0036589C"/>
    <w:rsid w:val="00371312"/>
    <w:rsid w:val="00371DC7"/>
    <w:rsid w:val="00377B21"/>
    <w:rsid w:val="00393B28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01EE"/>
    <w:rsid w:val="00461744"/>
    <w:rsid w:val="00466D96"/>
    <w:rsid w:val="00467747"/>
    <w:rsid w:val="00473C98"/>
    <w:rsid w:val="00482DF8"/>
    <w:rsid w:val="004864DE"/>
    <w:rsid w:val="0049461F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431A"/>
    <w:rsid w:val="004F016A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244"/>
    <w:rsid w:val="005B5AC2"/>
    <w:rsid w:val="005C2833"/>
    <w:rsid w:val="005C5772"/>
    <w:rsid w:val="005E144D"/>
    <w:rsid w:val="005E1500"/>
    <w:rsid w:val="005E3A43"/>
    <w:rsid w:val="00610CC6"/>
    <w:rsid w:val="0061779F"/>
    <w:rsid w:val="00620675"/>
    <w:rsid w:val="006433C3"/>
    <w:rsid w:val="00650F5B"/>
    <w:rsid w:val="00665CD8"/>
    <w:rsid w:val="006670D7"/>
    <w:rsid w:val="006719EA"/>
    <w:rsid w:val="00671F13"/>
    <w:rsid w:val="0067400A"/>
    <w:rsid w:val="00676A90"/>
    <w:rsid w:val="006847AD"/>
    <w:rsid w:val="0069114B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3514F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4225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015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2DC"/>
    <w:rsid w:val="00853AE6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090D"/>
    <w:rsid w:val="009870FA"/>
    <w:rsid w:val="0099551D"/>
    <w:rsid w:val="009A1874"/>
    <w:rsid w:val="009A5897"/>
    <w:rsid w:val="009A5F24"/>
    <w:rsid w:val="009B0B3E"/>
    <w:rsid w:val="009B10DC"/>
    <w:rsid w:val="009B1913"/>
    <w:rsid w:val="009B6657"/>
    <w:rsid w:val="009D0EB5"/>
    <w:rsid w:val="009D14F9"/>
    <w:rsid w:val="009D2B74"/>
    <w:rsid w:val="009E175D"/>
    <w:rsid w:val="009E304B"/>
    <w:rsid w:val="009E3CC2"/>
    <w:rsid w:val="009F043D"/>
    <w:rsid w:val="009F06BD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459F3"/>
    <w:rsid w:val="00A62C39"/>
    <w:rsid w:val="00A67493"/>
    <w:rsid w:val="00A925EC"/>
    <w:rsid w:val="00A929AA"/>
    <w:rsid w:val="00A92B6B"/>
    <w:rsid w:val="00AA541E"/>
    <w:rsid w:val="00AB6055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C00CE3"/>
    <w:rsid w:val="00C0581C"/>
    <w:rsid w:val="00C10F10"/>
    <w:rsid w:val="00C15992"/>
    <w:rsid w:val="00C15D4D"/>
    <w:rsid w:val="00C175DC"/>
    <w:rsid w:val="00C240D6"/>
    <w:rsid w:val="00C30171"/>
    <w:rsid w:val="00C309D8"/>
    <w:rsid w:val="00C604B9"/>
    <w:rsid w:val="00C61AFA"/>
    <w:rsid w:val="00C62099"/>
    <w:rsid w:val="00C63661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E6968"/>
    <w:rsid w:val="00CF540E"/>
    <w:rsid w:val="00D02F07"/>
    <w:rsid w:val="00D11FEF"/>
    <w:rsid w:val="00D21553"/>
    <w:rsid w:val="00D36A49"/>
    <w:rsid w:val="00D413D4"/>
    <w:rsid w:val="00D517C6"/>
    <w:rsid w:val="00D65CE1"/>
    <w:rsid w:val="00D71D84"/>
    <w:rsid w:val="00D72464"/>
    <w:rsid w:val="00D768EB"/>
    <w:rsid w:val="00D823E3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748D1"/>
    <w:rsid w:val="00E84C5A"/>
    <w:rsid w:val="00E861DB"/>
    <w:rsid w:val="00E93406"/>
    <w:rsid w:val="00E956C5"/>
    <w:rsid w:val="00E95C39"/>
    <w:rsid w:val="00EA2C39"/>
    <w:rsid w:val="00EB0A96"/>
    <w:rsid w:val="00EB77F9"/>
    <w:rsid w:val="00EC4F7C"/>
    <w:rsid w:val="00EC5769"/>
    <w:rsid w:val="00EC7D00"/>
    <w:rsid w:val="00ED0304"/>
    <w:rsid w:val="00EE38FA"/>
    <w:rsid w:val="00EE3E2C"/>
    <w:rsid w:val="00EE5D23"/>
    <w:rsid w:val="00EF3CA4"/>
    <w:rsid w:val="00F014DA"/>
    <w:rsid w:val="00F35DB1"/>
    <w:rsid w:val="00F56941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77EA8-A042-4173-9848-D7DDFE2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1E3921"/>
    <w:pPr>
      <w:keepNext/>
      <w:keepLines/>
      <w:spacing w:before="240"/>
      <w:outlineLvl w:val="0"/>
    </w:pPr>
    <w:rPr>
      <w:rFonts w:eastAsiaTheme="majorEastAsia" w:cstheme="majorBidi"/>
      <w:b/>
      <w:bCs/>
      <w:color w:val="DC582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152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1E3921"/>
    <w:rPr>
      <w:rFonts w:eastAsiaTheme="majorEastAsia" w:cstheme="majorBidi"/>
      <w:b/>
      <w:bCs/>
      <w:color w:val="DC582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C4152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5CE1"/>
    <w:pPr>
      <w:spacing w:after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5CE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CE1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CE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E6968"/>
    <w:pPr>
      <w:spacing w:after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2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48FA-803C-4EF0-B0FD-9C4BD21E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</vt:lpstr>
    </vt:vector>
  </TitlesOfParts>
  <Company>Northern Territory Government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matrix</dc:title>
  <dc:subject/>
  <dc:creator>Northern Territory Government</dc:creator>
  <cp:keywords/>
  <dc:description/>
  <cp:lastModifiedBy>Andrea Ruske</cp:lastModifiedBy>
  <cp:revision>2</cp:revision>
  <cp:lastPrinted>2018-07-12T03:37:00Z</cp:lastPrinted>
  <dcterms:created xsi:type="dcterms:W3CDTF">2018-10-16T06:20:00Z</dcterms:created>
  <dcterms:modified xsi:type="dcterms:W3CDTF">2018-10-16T06:20:00Z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