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AB" w:rsidRPr="005E3B55" w:rsidRDefault="003963AB" w:rsidP="003963AB">
      <w:pPr>
        <w:rPr>
          <w:rFonts w:ascii="Arial" w:hAnsi="Arial" w:cs="Arial"/>
          <w:b/>
          <w:sz w:val="24"/>
          <w:szCs w:val="24"/>
        </w:rPr>
      </w:pPr>
      <w:bookmarkStart w:id="0" w:name="_GoBack"/>
      <w:r w:rsidRPr="005E3B55">
        <w:rPr>
          <w:rFonts w:ascii="Arial" w:hAnsi="Arial" w:cs="Arial"/>
          <w:b/>
          <w:sz w:val="24"/>
          <w:szCs w:val="24"/>
        </w:rPr>
        <w:t>RESIDENTIAL LEASE/RENTAL AGREEMENT</w:t>
      </w:r>
    </w:p>
    <w:p w:rsidR="003963AB" w:rsidRPr="005E3B55" w:rsidRDefault="003963AB" w:rsidP="003963AB">
      <w:pPr>
        <w:rPr>
          <w:rFonts w:ascii="Arial" w:hAnsi="Arial" w:cs="Arial"/>
          <w:sz w:val="24"/>
          <w:szCs w:val="24"/>
        </w:rPr>
      </w:pPr>
      <w:r w:rsidRPr="005E3B55">
        <w:rPr>
          <w:rFonts w:ascii="Arial" w:hAnsi="Arial" w:cs="Arial"/>
          <w:sz w:val="24"/>
          <w:szCs w:val="24"/>
        </w:rPr>
        <w:t>PARTIES: LANDLORD______________________________________TENANT(S</w:t>
      </w:r>
      <w:proofErr w:type="gramStart"/>
      <w:r w:rsidRPr="005E3B55">
        <w:rPr>
          <w:rFonts w:ascii="Arial" w:hAnsi="Arial" w:cs="Arial"/>
          <w:sz w:val="24"/>
          <w:szCs w:val="24"/>
        </w:rPr>
        <w:t>)_</w:t>
      </w:r>
      <w:proofErr w:type="gramEnd"/>
      <w:r w:rsidRPr="005E3B55">
        <w:rPr>
          <w:rFonts w:ascii="Arial" w:hAnsi="Arial" w:cs="Arial"/>
          <w:sz w:val="24"/>
          <w:szCs w:val="24"/>
        </w:rPr>
        <w:t>_________________________________________________________________________</w:t>
      </w:r>
      <w:r w:rsidR="005E3B55">
        <w:rPr>
          <w:rFonts w:ascii="Arial" w:hAnsi="Arial" w:cs="Arial"/>
          <w:sz w:val="24"/>
          <w:szCs w:val="24"/>
        </w:rPr>
        <w:t>_______</w:t>
      </w:r>
      <w:r w:rsidRPr="005E3B55">
        <w:rPr>
          <w:rFonts w:ascii="Arial" w:hAnsi="Arial" w:cs="Arial"/>
          <w:sz w:val="24"/>
          <w:szCs w:val="24"/>
        </w:rPr>
        <w:t>PROPERTY ADDRESS: ______________________________________________________________________</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1. RENTAL AMOUNT: Commencing ________________, 20____ TENANT agrees to pay LANDLORD the sum of $___________per month in advance on the _____day of each calendar month. Said rental payment shall be delivered by TENANT to LANDLORD or his designated agent to the following location:</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Rent must be actually received by LANDLORD, or designated agent, in order to be considered in compliance with the terms of this agreement.</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2. TERM: The premises are leased on the following lease term: (please check one item only) ____ month to month (OR) ____ until ________________</w:t>
      </w:r>
      <w:proofErr w:type="gramStart"/>
      <w:r w:rsidRPr="005E3B55">
        <w:rPr>
          <w:rFonts w:ascii="Arial" w:hAnsi="Arial" w:cs="Arial"/>
          <w:sz w:val="24"/>
          <w:szCs w:val="24"/>
        </w:rPr>
        <w:t>,20</w:t>
      </w:r>
      <w:proofErr w:type="gramEnd"/>
      <w:r w:rsidRPr="005E3B55">
        <w:rPr>
          <w:rFonts w:ascii="Arial" w:hAnsi="Arial" w:cs="Arial"/>
          <w:sz w:val="24"/>
          <w:szCs w:val="24"/>
        </w:rPr>
        <w:t>___.</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 xml:space="preserve"> 3. SECURITY DEPOSITS</w:t>
      </w:r>
      <w:proofErr w:type="gramStart"/>
      <w:r w:rsidRPr="005E3B55">
        <w:rPr>
          <w:rFonts w:ascii="Arial" w:hAnsi="Arial" w:cs="Arial"/>
          <w:sz w:val="24"/>
          <w:szCs w:val="24"/>
        </w:rPr>
        <w:t>:TENANT</w:t>
      </w:r>
      <w:proofErr w:type="gramEnd"/>
      <w:r w:rsidRPr="005E3B55">
        <w:rPr>
          <w:rFonts w:ascii="Arial" w:hAnsi="Arial" w:cs="Arial"/>
          <w:sz w:val="24"/>
          <w:szCs w:val="24"/>
        </w:rPr>
        <w:t xml:space="preserve"> shall deposit with landlord the sum of $_____________ as a security deposit to secure TENANT'S faithful performance of the terms of this lease. The security deposit shall not exceed two times the monthly rent. After all the TENANTS have vacated, leaving the premises vacant, the LANDLORD may use the security deposit for the cleaning of the premises, any unusual wear and tear to the premises or common areas, and any rent or other amounts owed pursuant to the lease agreement or pursuant to Civil Code Section 1950.5.</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TENANT may not use said deposit for rent owed during the term of the lease. Within 21 days of the TENANT vacating the premises, LANDLORD shall furnish TENANT a written statement indicating any amounts deducted from the security deposit and returning the balance to the TENANT. If TENANT fails to furnish a forwarding address to LANDLORD, then LANDLORD shall send said statement and any security deposit refund to the leased premises.</w:t>
      </w:r>
    </w:p>
    <w:bookmarkEnd w:id="0"/>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lastRenderedPageBreak/>
        <w:t>4. INITIAL PAYMENT: TENANT shall pay the first month rent of $__________ and the security deposit in the amount of $__________ for a total of $____________. Said payment shall be made in the form of cash or cashier's check and is all due prior to occupancy.</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5. OCCUPANTS: The premises shall not be occupied by any person other than those designated above as TENANT with the exception of the following named persons: _______________________________________________</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If LANDLORD, with written consent, allows for additional persons to occupy the premises, the rent shall be increased by $100 for each such person. Any person staying 14 days cumulative or longer, without the LANDLORD'S written consent, shall be considered as occupying the premises in violation of this agreement.</w:t>
      </w:r>
    </w:p>
    <w:p w:rsidR="003963AB" w:rsidRPr="005E3B55" w:rsidRDefault="003963AB" w:rsidP="003963AB">
      <w:pPr>
        <w:rPr>
          <w:rFonts w:ascii="Arial" w:hAnsi="Arial" w:cs="Arial"/>
          <w:sz w:val="24"/>
          <w:szCs w:val="24"/>
        </w:rPr>
      </w:pPr>
      <w:r w:rsidRPr="005E3B55">
        <w:rPr>
          <w:rFonts w:ascii="Arial" w:hAnsi="Arial" w:cs="Arial"/>
          <w:sz w:val="24"/>
          <w:szCs w:val="24"/>
        </w:rPr>
        <w:t>6. SUBLETTING OR ASSIGNING: TENANT agrees not to assign or sublet the premises, or any part thereof, without first obtaining written permission from LANDLORD.</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7. UTILITIES: TENANT shall pay for all utilities and/or services supplied to the premises with the following exception:</w:t>
      </w:r>
    </w:p>
    <w:p w:rsidR="003963AB" w:rsidRPr="005E3B55" w:rsidRDefault="003963AB" w:rsidP="003963AB">
      <w:pPr>
        <w:rPr>
          <w:rFonts w:ascii="Arial" w:hAnsi="Arial" w:cs="Arial"/>
          <w:sz w:val="24"/>
          <w:szCs w:val="24"/>
        </w:rPr>
      </w:pPr>
      <w:r w:rsidRPr="005E3B55">
        <w:rPr>
          <w:rFonts w:ascii="Arial" w:hAnsi="Arial" w:cs="Arial"/>
          <w:sz w:val="24"/>
          <w:szCs w:val="24"/>
        </w:rPr>
        <w:t>_____________________________________.</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8. PARKING: TENANT ___is not ___is (check one) assigned a parking space. If assigned a parking space it shall be designated as space #___________. TENANT may only park a vehicle that is registered in the TENANT'S name. TENANT may not assign, sublet, or allow any other person to use this space. This space is exclusively used for the parking of passenger automobiles by the TENANT. No other type of vehicle or item may be stored in this space without prior written consent of LANDLORD. TENANT may not wash, repair, or paint in this space or at any other common area on the premises.</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Only vehicles that are operational and currently registered in the State of California may park in this space. Any vehicle that is leaking any substance must not be parked anywhere on the premises.</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9. CONDITION OF PREMISES: 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misuse or negligence.</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TENANT shall be responsible for the cleaning or repair to any plumbing fixture where a stoppage has occurred. TENANT shall also be responsible for repair or replacement of the garbage disposal where the cause has been a result of bones, grease, pits, or any other item which normally causes blockage of the mechanism.</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 xml:space="preserve">10. ALTERATIONS: TENANT shall not make any alterations to the premises, including but not limited to installing aerials, lighting fixtures, dishwashers, washing machines, dryers or other items without first obtaining written permission from LANDLORD. TENANT shall not change or install locks, paint, or wallpaper said premises without LANDLORD'S prior written </w:t>
      </w:r>
      <w:proofErr w:type="gramStart"/>
      <w:r w:rsidRPr="005E3B55">
        <w:rPr>
          <w:rFonts w:ascii="Arial" w:hAnsi="Arial" w:cs="Arial"/>
          <w:sz w:val="24"/>
          <w:szCs w:val="24"/>
        </w:rPr>
        <w:t>consent,</w:t>
      </w:r>
      <w:proofErr w:type="gramEnd"/>
      <w:r w:rsidRPr="005E3B55">
        <w:rPr>
          <w:rFonts w:ascii="Arial" w:hAnsi="Arial" w:cs="Arial"/>
          <w:sz w:val="24"/>
          <w:szCs w:val="24"/>
        </w:rPr>
        <w:t xml:space="preserve"> TENANT shall not place placards, signs, or other exhibits in a window or any other place where they can be viewed by other residents or by the general public.</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11. LATE CHARGE/BAD CHECKS: A late charge of 6% of the current rental amount shall be incurred if rent is not paid when due.</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 xml:space="preserve">If rent is not paid when due and landlord issues a 'Notice </w:t>
      </w:r>
      <w:proofErr w:type="gramStart"/>
      <w:r w:rsidRPr="005E3B55">
        <w:rPr>
          <w:rFonts w:ascii="Arial" w:hAnsi="Arial" w:cs="Arial"/>
          <w:sz w:val="24"/>
          <w:szCs w:val="24"/>
        </w:rPr>
        <w:t>To</w:t>
      </w:r>
      <w:proofErr w:type="gramEnd"/>
      <w:r w:rsidRPr="005E3B55">
        <w:rPr>
          <w:rFonts w:ascii="Arial" w:hAnsi="Arial" w:cs="Arial"/>
          <w:sz w:val="24"/>
          <w:szCs w:val="24"/>
        </w:rPr>
        <w:t xml:space="preserve"> Pay Rent Or Quit', TENANT must tender cash or cashier's check only. If TENANT tenders a check, which is dishonored by a banking institution, than TENANT shall only tender cash or cashier's check for all future payments. This shall continue until such time as written consent is obtained from LANDLORD. In addition, TENANT shall be liable in the sum of $10 for each check that is returned to LANDLORD because the check has been dishonored.</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 xml:space="preserve">12. NOISE AND DISRUPTIVE ACTIVITIES: TENANT or his/her guests and invitees shall not disturb, annoy, endanger or inconvenience other tenants of the building, </w:t>
      </w:r>
      <w:r w:rsidRPr="005E3B55">
        <w:rPr>
          <w:rFonts w:ascii="Arial" w:hAnsi="Arial" w:cs="Arial"/>
          <w:sz w:val="24"/>
          <w:szCs w:val="24"/>
        </w:rPr>
        <w:lastRenderedPageBreak/>
        <w:t>neighbors, the LANDLORD or his agents, or workmen nor violate any law, nor commit or permit waste or nuisance in or about the premises.</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 xml:space="preserve">13. LANDLORD'S RIGHT OF ENTRY: LANDLORD may enter and inspect the premises during normal business hours and upon reasonable advance notice of at least 24 hours to TENANT. LANDLORD is permitted to make all alterations, repairs and maintenance that in LANDLORD'S judgment is necessary to perform. In addition LANDLORD has all right to enter pursuant to Civil Code Section 1954. If the work performed requires that TENANT temporarily vacate the unit, then TENANT shall vacate for this temporary period upon being served a 7 </w:t>
      </w:r>
      <w:proofErr w:type="spellStart"/>
      <w:r w:rsidRPr="005E3B55">
        <w:rPr>
          <w:rFonts w:ascii="Arial" w:hAnsi="Arial" w:cs="Arial"/>
          <w:sz w:val="24"/>
          <w:szCs w:val="24"/>
        </w:rPr>
        <w:t>days notice</w:t>
      </w:r>
      <w:proofErr w:type="spellEnd"/>
      <w:r w:rsidRPr="005E3B55">
        <w:rPr>
          <w:rFonts w:ascii="Arial" w:hAnsi="Arial" w:cs="Arial"/>
          <w:sz w:val="24"/>
          <w:szCs w:val="24"/>
        </w:rPr>
        <w:t xml:space="preserve"> by LANDLORD. TENANT agrees that in such event that TENANT will be solely compensated by a corresponding reduction in rent for those many days that TENANT was temporarily displaced.</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If the work to be performed requires the cooperation of TENANT to perform certain tasks, then those tasks shall be performed upon serving 24 hours written notice by LANDLORD. (EXAMPLE -removing food items from cabinets so that the unit may be sprayed for pests)</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14. REPAIRS BY LANDLORD: Where a repair is the responsibility of the LANDLORD, TENANT must notify LANDLORD with a written notice stating what item needs servicing or repair. TENANT must give LANDLORD a reasonable opportunity to service or repair said item. TENANT acknowledges that rent will not be withheld unless a written notice has been served on 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15. PETS: No dog, cat, bird, fish or other domestic pet or animal of any kind may be kept on or about the premises without LANDLORD"S written consent.</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lastRenderedPageBreak/>
        <w:t>16. FURNISHINGS: 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TENANT shall not install or use any washer, dryer, or dishwasher that was not already furnished with the unit.</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17. INSURANCE: 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18. TERMINATION OF LEASE/RENTAL AGREEMENT: If this lease is based on a fixed term, pursuant to paragraph 2, then at the expiration of said fixed term this lease shall become a month to month tenancy upon the approval of LANDLORD.</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Where said term is a month to month tenancy, either party may terminate this tenancy by the serving of a 30 day written notice.</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19. POSSESSION: If premises cannot be delivered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 xml:space="preserve">20. ABANDONMENT: 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w:t>
      </w:r>
      <w:proofErr w:type="gramStart"/>
      <w:r w:rsidRPr="005E3B55">
        <w:rPr>
          <w:rFonts w:ascii="Arial" w:hAnsi="Arial" w:cs="Arial"/>
          <w:sz w:val="24"/>
          <w:szCs w:val="24"/>
        </w:rPr>
        <w:t>the require</w:t>
      </w:r>
      <w:proofErr w:type="gramEnd"/>
      <w:r w:rsidRPr="005E3B55">
        <w:rPr>
          <w:rFonts w:ascii="Arial" w:hAnsi="Arial" w:cs="Arial"/>
          <w:sz w:val="24"/>
          <w:szCs w:val="24"/>
        </w:rPr>
        <w:t xml:space="preserve">- </w:t>
      </w:r>
      <w:proofErr w:type="spellStart"/>
      <w:r w:rsidRPr="005E3B55">
        <w:rPr>
          <w:rFonts w:ascii="Arial" w:hAnsi="Arial" w:cs="Arial"/>
          <w:sz w:val="24"/>
          <w:szCs w:val="24"/>
        </w:rPr>
        <w:t>ments</w:t>
      </w:r>
      <w:proofErr w:type="spellEnd"/>
      <w:r w:rsidRPr="005E3B55">
        <w:rPr>
          <w:rFonts w:ascii="Arial" w:hAnsi="Arial" w:cs="Arial"/>
          <w:sz w:val="24"/>
          <w:szCs w:val="24"/>
        </w:rPr>
        <w:t xml:space="preserve"> of said notice in 18 days, the premises shall be deemed abandoned.</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21. WAIVER: 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the parties that the payment of rent at any time shall not be a waiver to any UNLAWFUL DETAINER action unless LANDLORD in writing specifically acknowledges that this constitutes a waiver to the UNLAWFUL DETAINER action.</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22. VALIDITY/SEVERABILITY: If any provision of this agreement is held to be invalid, such invalidity shall not affect the validity or enforceability of any other provision of this agreement.</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23. ATTORNEY FEES: In the event action is brought by any party to enforce any terms of this agreement or to recover possession of the premises, the prevailing party shall recover from the other party reasonable attorney fees.</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It is acknowledged, between the parties, that jury trials significantly increase the costs of any litigation between the parties. It is also acknowledged that jury trials require a longer length of time to adjudicate the controversy. On this basis, all parties waive their rights to have any matter settled by jury trial.</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 xml:space="preserve">24. NOTICES: All notices to the tenant shall be deemed served upon mailing by first class mail, addressed to the tenant, at the subject premises or upon personal delivery to </w:t>
      </w:r>
      <w:r w:rsidRPr="005E3B55">
        <w:rPr>
          <w:rFonts w:ascii="Arial" w:hAnsi="Arial" w:cs="Arial"/>
          <w:sz w:val="24"/>
          <w:szCs w:val="24"/>
        </w:rPr>
        <w:lastRenderedPageBreak/>
        <w:t>the premises whether or not TENANT is actually present at the time of said delivery. All notices to the landlord shall be served by mailing first class mail or by personal delivery to the manager's apartment or</w:t>
      </w:r>
    </w:p>
    <w:p w:rsidR="003963AB" w:rsidRPr="005E3B55" w:rsidRDefault="003963AB" w:rsidP="003963AB">
      <w:pPr>
        <w:rPr>
          <w:rFonts w:ascii="Arial" w:hAnsi="Arial" w:cs="Arial"/>
          <w:sz w:val="24"/>
          <w:szCs w:val="24"/>
        </w:rPr>
      </w:pPr>
      <w:proofErr w:type="gramStart"/>
      <w:r w:rsidRPr="005E3B55">
        <w:rPr>
          <w:rFonts w:ascii="Arial" w:hAnsi="Arial" w:cs="Arial"/>
          <w:sz w:val="24"/>
          <w:szCs w:val="24"/>
        </w:rPr>
        <w:t>to</w:t>
      </w:r>
      <w:proofErr w:type="gramEnd"/>
      <w:r w:rsidRPr="005E3B55">
        <w:rPr>
          <w:rFonts w:ascii="Arial" w:hAnsi="Arial" w:cs="Arial"/>
          <w:sz w:val="24"/>
          <w:szCs w:val="24"/>
        </w:rPr>
        <w:t>:__________________________________________.</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25. PERSONAL PROPERTY OF TENANT: Once TENANT vacates the premises, all personal property left in the unit shall be stored by the LANDLORD for 18 days. If within that time period, TENANT does not claim said property, LANDLORD may dispose of said items in any manner LANDLORD chooses.</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26. ADDITIONAL RENT: All items owed under this lease shall be deemed additional rent.</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27. APPLICATION: All statements in TENANT'S application must be true or this will constitute a material breach of this lease.</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28. ADDITIONAL TERMS:</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 xml:space="preserve">29. ENTIRE AGREEMENT: The foregoing </w:t>
      </w:r>
      <w:proofErr w:type="gramStart"/>
      <w:r w:rsidRPr="005E3B55">
        <w:rPr>
          <w:rFonts w:ascii="Arial" w:hAnsi="Arial" w:cs="Arial"/>
          <w:sz w:val="24"/>
          <w:szCs w:val="24"/>
        </w:rPr>
        <w:t>agreement, including any attachments incorporated by reference, constitute</w:t>
      </w:r>
      <w:proofErr w:type="gramEnd"/>
      <w:r w:rsidRPr="005E3B55">
        <w:rPr>
          <w:rFonts w:ascii="Arial" w:hAnsi="Arial" w:cs="Arial"/>
          <w:sz w:val="24"/>
          <w:szCs w:val="24"/>
        </w:rPr>
        <w:t xml:space="preserve"> the entire agreement between the parties and supersedes any oral or written representations or agreements that may have been made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_____________________________LANDLORD/AGENT __________DATE</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_____________________________TENANT __________DATE</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_____________________________TENANT __________DATE</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NO REPRESENTATION IS MADE AS TO THE LEGAL VALIDITY OR ADEQUACY OF THIS AGREEMENT. IF YOU DESIRE, CONSULT WITH AN ATTORNEY BEFORE ENTERING THIS AGREEMENT.</w:t>
      </w: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p>
    <w:p w:rsidR="003963AB" w:rsidRPr="005E3B55" w:rsidRDefault="003963AB" w:rsidP="003963AB">
      <w:pPr>
        <w:rPr>
          <w:rFonts w:ascii="Arial" w:hAnsi="Arial" w:cs="Arial"/>
          <w:sz w:val="24"/>
          <w:szCs w:val="24"/>
        </w:rPr>
      </w:pPr>
      <w:r w:rsidRPr="005E3B55">
        <w:rPr>
          <w:rFonts w:ascii="Arial" w:hAnsi="Arial" w:cs="Arial"/>
          <w:sz w:val="24"/>
          <w:szCs w:val="24"/>
        </w:rPr>
        <w:t xml:space="preserve">  </w:t>
      </w:r>
    </w:p>
    <w:p w:rsidR="003963AB" w:rsidRPr="005E3B55" w:rsidRDefault="003963AB" w:rsidP="003963AB">
      <w:pPr>
        <w:rPr>
          <w:rFonts w:ascii="Arial" w:hAnsi="Arial" w:cs="Arial"/>
          <w:sz w:val="24"/>
          <w:szCs w:val="24"/>
        </w:rPr>
      </w:pPr>
    </w:p>
    <w:sectPr w:rsidR="003963AB" w:rsidRPr="005E3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AB"/>
    <w:rsid w:val="003963AB"/>
    <w:rsid w:val="005E3B55"/>
    <w:rsid w:val="0086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90603">
      <w:bodyDiv w:val="1"/>
      <w:marLeft w:val="0"/>
      <w:marRight w:val="0"/>
      <w:marTop w:val="0"/>
      <w:marBottom w:val="0"/>
      <w:divBdr>
        <w:top w:val="none" w:sz="0" w:space="0" w:color="auto"/>
        <w:left w:val="none" w:sz="0" w:space="0" w:color="auto"/>
        <w:bottom w:val="none" w:sz="0" w:space="0" w:color="auto"/>
        <w:right w:val="none" w:sz="0" w:space="0" w:color="auto"/>
      </w:divBdr>
      <w:divsChild>
        <w:div w:id="157041514">
          <w:marLeft w:val="0"/>
          <w:marRight w:val="0"/>
          <w:marTop w:val="0"/>
          <w:marBottom w:val="150"/>
          <w:divBdr>
            <w:top w:val="none" w:sz="0" w:space="0" w:color="auto"/>
            <w:left w:val="none" w:sz="0" w:space="0" w:color="auto"/>
            <w:bottom w:val="none" w:sz="0" w:space="0" w:color="auto"/>
            <w:right w:val="none" w:sz="0" w:space="0" w:color="auto"/>
          </w:divBdr>
          <w:divsChild>
            <w:div w:id="1888028182">
              <w:marLeft w:val="375"/>
              <w:marRight w:val="375"/>
              <w:marTop w:val="225"/>
              <w:marBottom w:val="0"/>
              <w:divBdr>
                <w:top w:val="none" w:sz="0" w:space="0" w:color="auto"/>
                <w:left w:val="none" w:sz="0" w:space="0" w:color="auto"/>
                <w:bottom w:val="none" w:sz="0" w:space="0" w:color="auto"/>
                <w:right w:val="none" w:sz="0" w:space="0" w:color="auto"/>
              </w:divBdr>
              <w:divsChild>
                <w:div w:id="624773157">
                  <w:marLeft w:val="210"/>
                  <w:marRight w:val="210"/>
                  <w:marTop w:val="225"/>
                  <w:marBottom w:val="0"/>
                  <w:divBdr>
                    <w:top w:val="none" w:sz="0" w:space="0" w:color="auto"/>
                    <w:left w:val="none" w:sz="0" w:space="0" w:color="auto"/>
                    <w:bottom w:val="none" w:sz="0" w:space="0" w:color="auto"/>
                    <w:right w:val="none" w:sz="0" w:space="0" w:color="auto"/>
                  </w:divBdr>
                  <w:divsChild>
                    <w:div w:id="1884058673">
                      <w:marLeft w:val="210"/>
                      <w:marRight w:val="210"/>
                      <w:marTop w:val="0"/>
                      <w:marBottom w:val="0"/>
                      <w:divBdr>
                        <w:top w:val="none" w:sz="0" w:space="0" w:color="auto"/>
                        <w:left w:val="none" w:sz="0" w:space="0" w:color="auto"/>
                        <w:bottom w:val="none" w:sz="0" w:space="0" w:color="auto"/>
                        <w:right w:val="none" w:sz="0" w:space="0" w:color="auto"/>
                      </w:divBdr>
                      <w:divsChild>
                        <w:div w:id="1957445024">
                          <w:marLeft w:val="0"/>
                          <w:marRight w:val="0"/>
                          <w:marTop w:val="0"/>
                          <w:marBottom w:val="0"/>
                          <w:divBdr>
                            <w:top w:val="none" w:sz="0" w:space="0" w:color="auto"/>
                            <w:left w:val="none" w:sz="0" w:space="0" w:color="auto"/>
                            <w:bottom w:val="none" w:sz="0" w:space="0" w:color="auto"/>
                            <w:right w:val="none" w:sz="0" w:space="0" w:color="auto"/>
                          </w:divBdr>
                          <w:divsChild>
                            <w:div w:id="1811022741">
                              <w:marLeft w:val="0"/>
                              <w:marRight w:val="0"/>
                              <w:marTop w:val="0"/>
                              <w:marBottom w:val="0"/>
                              <w:divBdr>
                                <w:top w:val="none" w:sz="0" w:space="0" w:color="auto"/>
                                <w:left w:val="none" w:sz="0" w:space="0" w:color="auto"/>
                                <w:bottom w:val="none" w:sz="0" w:space="0" w:color="auto"/>
                                <w:right w:val="none" w:sz="0" w:space="0" w:color="auto"/>
                              </w:divBdr>
                              <w:divsChild>
                                <w:div w:id="382363434">
                                  <w:marLeft w:val="0"/>
                                  <w:marRight w:val="0"/>
                                  <w:marTop w:val="0"/>
                                  <w:marBottom w:val="0"/>
                                  <w:divBdr>
                                    <w:top w:val="none" w:sz="0" w:space="0" w:color="auto"/>
                                    <w:left w:val="none" w:sz="0" w:space="0" w:color="auto"/>
                                    <w:bottom w:val="none" w:sz="0" w:space="0" w:color="auto"/>
                                    <w:right w:val="none" w:sz="0" w:space="0" w:color="auto"/>
                                  </w:divBdr>
                                  <w:divsChild>
                                    <w:div w:id="1892960101">
                                      <w:marLeft w:val="0"/>
                                      <w:marRight w:val="0"/>
                                      <w:marTop w:val="0"/>
                                      <w:marBottom w:val="0"/>
                                      <w:divBdr>
                                        <w:top w:val="none" w:sz="0" w:space="0" w:color="auto"/>
                                        <w:left w:val="none" w:sz="0" w:space="0" w:color="auto"/>
                                        <w:bottom w:val="none" w:sz="0" w:space="0" w:color="auto"/>
                                        <w:right w:val="none" w:sz="0" w:space="0" w:color="auto"/>
                                      </w:divBdr>
                                      <w:divsChild>
                                        <w:div w:id="1961373258">
                                          <w:marLeft w:val="0"/>
                                          <w:marRight w:val="0"/>
                                          <w:marTop w:val="0"/>
                                          <w:marBottom w:val="0"/>
                                          <w:divBdr>
                                            <w:top w:val="none" w:sz="0" w:space="0" w:color="auto"/>
                                            <w:left w:val="none" w:sz="0" w:space="0" w:color="auto"/>
                                            <w:bottom w:val="none" w:sz="0" w:space="0" w:color="auto"/>
                                            <w:right w:val="none" w:sz="0" w:space="0" w:color="auto"/>
                                          </w:divBdr>
                                          <w:divsChild>
                                            <w:div w:id="1737122971">
                                              <w:marLeft w:val="0"/>
                                              <w:marRight w:val="0"/>
                                              <w:marTop w:val="0"/>
                                              <w:marBottom w:val="0"/>
                                              <w:divBdr>
                                                <w:top w:val="none" w:sz="0" w:space="0" w:color="auto"/>
                                                <w:left w:val="none" w:sz="0" w:space="0" w:color="auto"/>
                                                <w:bottom w:val="none" w:sz="0" w:space="0" w:color="auto"/>
                                                <w:right w:val="none" w:sz="0" w:space="0" w:color="auto"/>
                                              </w:divBdr>
                                            </w:div>
                                            <w:div w:id="1108813457">
                                              <w:marLeft w:val="0"/>
                                              <w:marRight w:val="30"/>
                                              <w:marTop w:val="0"/>
                                              <w:marBottom w:val="0"/>
                                              <w:divBdr>
                                                <w:top w:val="none" w:sz="0" w:space="0" w:color="auto"/>
                                                <w:left w:val="none" w:sz="0" w:space="0" w:color="auto"/>
                                                <w:bottom w:val="none" w:sz="0" w:space="0" w:color="auto"/>
                                                <w:right w:val="none" w:sz="0" w:space="0" w:color="auto"/>
                                              </w:divBdr>
                                            </w:div>
                                            <w:div w:id="15507928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19428223">
                                      <w:marLeft w:val="-169"/>
                                      <w:marRight w:val="0"/>
                                      <w:marTop w:val="0"/>
                                      <w:marBottom w:val="0"/>
                                      <w:divBdr>
                                        <w:top w:val="none" w:sz="0" w:space="0" w:color="auto"/>
                                        <w:left w:val="none" w:sz="0" w:space="0" w:color="auto"/>
                                        <w:bottom w:val="none" w:sz="0" w:space="0" w:color="auto"/>
                                        <w:right w:val="none" w:sz="0" w:space="0" w:color="auto"/>
                                      </w:divBdr>
                                      <w:divsChild>
                                        <w:div w:id="1748528770">
                                          <w:marLeft w:val="0"/>
                                          <w:marRight w:val="0"/>
                                          <w:marTop w:val="0"/>
                                          <w:marBottom w:val="45"/>
                                          <w:divBdr>
                                            <w:top w:val="single" w:sz="2" w:space="0" w:color="A9A9A9"/>
                                            <w:left w:val="single" w:sz="2" w:space="0" w:color="A9A9A9"/>
                                            <w:bottom w:val="single" w:sz="2" w:space="0" w:color="A9A9A9"/>
                                            <w:right w:val="single" w:sz="2" w:space="0" w:color="A9A9A9"/>
                                          </w:divBdr>
                                          <w:divsChild>
                                            <w:div w:id="1409420628">
                                              <w:marLeft w:val="0"/>
                                              <w:marRight w:val="0"/>
                                              <w:marTop w:val="0"/>
                                              <w:marBottom w:val="0"/>
                                              <w:divBdr>
                                                <w:top w:val="none" w:sz="0" w:space="0" w:color="auto"/>
                                                <w:left w:val="none" w:sz="0" w:space="0" w:color="auto"/>
                                                <w:bottom w:val="none" w:sz="0" w:space="0" w:color="auto"/>
                                                <w:right w:val="none" w:sz="0" w:space="0" w:color="auto"/>
                                              </w:divBdr>
                                              <w:divsChild>
                                                <w:div w:id="1109354017">
                                                  <w:marLeft w:val="173"/>
                                                  <w:marRight w:val="0"/>
                                                  <w:marTop w:val="0"/>
                                                  <w:marBottom w:val="173"/>
                                                  <w:divBdr>
                                                    <w:top w:val="none" w:sz="0" w:space="0" w:color="D6D5D3"/>
                                                    <w:left w:val="none" w:sz="0" w:space="0" w:color="D6D5D3"/>
                                                    <w:bottom w:val="none" w:sz="0" w:space="0" w:color="D6D5D3"/>
                                                    <w:right w:val="none" w:sz="0" w:space="0" w:color="D6D5D3"/>
                                                  </w:divBdr>
                                                </w:div>
                                                <w:div w:id="1830444309">
                                                  <w:marLeft w:val="173"/>
                                                  <w:marRight w:val="0"/>
                                                  <w:marTop w:val="0"/>
                                                  <w:marBottom w:val="173"/>
                                                  <w:divBdr>
                                                    <w:top w:val="none" w:sz="0" w:space="0" w:color="D6D5D3"/>
                                                    <w:left w:val="none" w:sz="0" w:space="0" w:color="D6D5D3"/>
                                                    <w:bottom w:val="none" w:sz="0" w:space="0" w:color="D6D5D3"/>
                                                    <w:right w:val="none" w:sz="0" w:space="0" w:color="D6D5D3"/>
                                                  </w:divBdr>
                                                </w:div>
                                                <w:div w:id="1181317763">
                                                  <w:marLeft w:val="173"/>
                                                  <w:marRight w:val="0"/>
                                                  <w:marTop w:val="0"/>
                                                  <w:marBottom w:val="173"/>
                                                  <w:divBdr>
                                                    <w:top w:val="none" w:sz="0" w:space="0" w:color="D6D5D3"/>
                                                    <w:left w:val="none" w:sz="0" w:space="0" w:color="D6D5D3"/>
                                                    <w:bottom w:val="none" w:sz="0" w:space="0" w:color="D6D5D3"/>
                                                    <w:right w:val="none" w:sz="0" w:space="0" w:color="D6D5D3"/>
                                                  </w:divBdr>
                                                </w:div>
                                                <w:div w:id="103428098">
                                                  <w:marLeft w:val="173"/>
                                                  <w:marRight w:val="0"/>
                                                  <w:marTop w:val="0"/>
                                                  <w:marBottom w:val="173"/>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 w:id="12041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3296">
                  <w:marLeft w:val="0"/>
                  <w:marRight w:val="0"/>
                  <w:marTop w:val="0"/>
                  <w:marBottom w:val="0"/>
                  <w:divBdr>
                    <w:top w:val="none" w:sz="0" w:space="0" w:color="auto"/>
                    <w:left w:val="none" w:sz="0" w:space="0" w:color="auto"/>
                    <w:bottom w:val="none" w:sz="0" w:space="0" w:color="auto"/>
                    <w:right w:val="none" w:sz="0" w:space="0" w:color="auto"/>
                  </w:divBdr>
                  <w:divsChild>
                    <w:div w:id="1355036751">
                      <w:marLeft w:val="0"/>
                      <w:marRight w:val="0"/>
                      <w:marTop w:val="0"/>
                      <w:marBottom w:val="0"/>
                      <w:divBdr>
                        <w:top w:val="none" w:sz="0" w:space="0" w:color="auto"/>
                        <w:left w:val="none" w:sz="0" w:space="0" w:color="auto"/>
                        <w:bottom w:val="none" w:sz="0" w:space="0" w:color="auto"/>
                        <w:right w:val="none" w:sz="0" w:space="0" w:color="auto"/>
                      </w:divBdr>
                      <w:divsChild>
                        <w:div w:id="266737968">
                          <w:marLeft w:val="0"/>
                          <w:marRight w:val="0"/>
                          <w:marTop w:val="0"/>
                          <w:marBottom w:val="0"/>
                          <w:divBdr>
                            <w:top w:val="single" w:sz="2" w:space="0" w:color="DFDFDF"/>
                            <w:left w:val="single" w:sz="2" w:space="0" w:color="DFDFDF"/>
                            <w:bottom w:val="single" w:sz="2" w:space="0" w:color="DFDFDF"/>
                            <w:right w:val="single" w:sz="2" w:space="0" w:color="DFDFDF"/>
                          </w:divBdr>
                          <w:divsChild>
                            <w:div w:id="1054084989">
                              <w:marLeft w:val="0"/>
                              <w:marRight w:val="0"/>
                              <w:marTop w:val="0"/>
                              <w:marBottom w:val="0"/>
                              <w:divBdr>
                                <w:top w:val="none" w:sz="0" w:space="0" w:color="auto"/>
                                <w:left w:val="none" w:sz="0" w:space="0" w:color="auto"/>
                                <w:bottom w:val="none" w:sz="0" w:space="0" w:color="auto"/>
                                <w:right w:val="none" w:sz="0" w:space="0" w:color="auto"/>
                              </w:divBdr>
                              <w:divsChild>
                                <w:div w:id="2133360157">
                                  <w:marLeft w:val="0"/>
                                  <w:marRight w:val="0"/>
                                  <w:marTop w:val="0"/>
                                  <w:marBottom w:val="0"/>
                                  <w:divBdr>
                                    <w:top w:val="none" w:sz="0" w:space="0" w:color="auto"/>
                                    <w:left w:val="none" w:sz="0" w:space="0" w:color="auto"/>
                                    <w:bottom w:val="none" w:sz="0" w:space="0" w:color="auto"/>
                                    <w:right w:val="none" w:sz="0" w:space="0" w:color="auto"/>
                                  </w:divBdr>
                                  <w:divsChild>
                                    <w:div w:id="1442723481">
                                      <w:marLeft w:val="0"/>
                                      <w:marRight w:val="0"/>
                                      <w:marTop w:val="0"/>
                                      <w:marBottom w:val="0"/>
                                      <w:divBdr>
                                        <w:top w:val="none" w:sz="0" w:space="0" w:color="auto"/>
                                        <w:left w:val="none" w:sz="0" w:space="0" w:color="auto"/>
                                        <w:bottom w:val="none" w:sz="0" w:space="0" w:color="auto"/>
                                        <w:right w:val="none" w:sz="0" w:space="0" w:color="auto"/>
                                      </w:divBdr>
                                    </w:div>
                                    <w:div w:id="921568859">
                                      <w:marLeft w:val="0"/>
                                      <w:marRight w:val="30"/>
                                      <w:marTop w:val="0"/>
                                      <w:marBottom w:val="0"/>
                                      <w:divBdr>
                                        <w:top w:val="none" w:sz="0" w:space="0" w:color="auto"/>
                                        <w:left w:val="none" w:sz="0" w:space="0" w:color="auto"/>
                                        <w:bottom w:val="none" w:sz="0" w:space="0" w:color="auto"/>
                                        <w:right w:val="none" w:sz="0" w:space="0" w:color="auto"/>
                                      </w:divBdr>
                                    </w:div>
                                    <w:div w:id="153557675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21374613">
                              <w:marLeft w:val="-192"/>
                              <w:marRight w:val="0"/>
                              <w:marTop w:val="0"/>
                              <w:marBottom w:val="0"/>
                              <w:divBdr>
                                <w:top w:val="none" w:sz="0" w:space="0" w:color="auto"/>
                                <w:left w:val="none" w:sz="0" w:space="0" w:color="auto"/>
                                <w:bottom w:val="none" w:sz="0" w:space="0" w:color="auto"/>
                                <w:right w:val="none" w:sz="0" w:space="0" w:color="auto"/>
                              </w:divBdr>
                              <w:divsChild>
                                <w:div w:id="876743440">
                                  <w:marLeft w:val="0"/>
                                  <w:marRight w:val="0"/>
                                  <w:marTop w:val="0"/>
                                  <w:marBottom w:val="45"/>
                                  <w:divBdr>
                                    <w:top w:val="single" w:sz="2" w:space="0" w:color="A9A9A9"/>
                                    <w:left w:val="single" w:sz="2" w:space="0" w:color="A9A9A9"/>
                                    <w:bottom w:val="single" w:sz="2" w:space="0" w:color="A9A9A9"/>
                                    <w:right w:val="single" w:sz="2" w:space="0" w:color="A9A9A9"/>
                                  </w:divBdr>
                                  <w:divsChild>
                                    <w:div w:id="1770001621">
                                      <w:marLeft w:val="0"/>
                                      <w:marRight w:val="0"/>
                                      <w:marTop w:val="0"/>
                                      <w:marBottom w:val="0"/>
                                      <w:divBdr>
                                        <w:top w:val="none" w:sz="0" w:space="0" w:color="auto"/>
                                        <w:left w:val="none" w:sz="0" w:space="0" w:color="auto"/>
                                        <w:bottom w:val="none" w:sz="0" w:space="0" w:color="auto"/>
                                        <w:right w:val="none" w:sz="0" w:space="0" w:color="auto"/>
                                      </w:divBdr>
                                      <w:divsChild>
                                        <w:div w:id="611130135">
                                          <w:marLeft w:val="192"/>
                                          <w:marRight w:val="0"/>
                                          <w:marTop w:val="0"/>
                                          <w:marBottom w:val="192"/>
                                          <w:divBdr>
                                            <w:top w:val="none" w:sz="0" w:space="0" w:color="D6D5D3"/>
                                            <w:left w:val="none" w:sz="0" w:space="0" w:color="D6D5D3"/>
                                            <w:bottom w:val="none" w:sz="0" w:space="0" w:color="D6D5D3"/>
                                            <w:right w:val="none" w:sz="0" w:space="0" w:color="D6D5D3"/>
                                          </w:divBdr>
                                        </w:div>
                                        <w:div w:id="582111021">
                                          <w:marLeft w:val="192"/>
                                          <w:marRight w:val="0"/>
                                          <w:marTop w:val="0"/>
                                          <w:marBottom w:val="192"/>
                                          <w:divBdr>
                                            <w:top w:val="none" w:sz="0" w:space="0" w:color="D6D5D3"/>
                                            <w:left w:val="none" w:sz="0" w:space="0" w:color="D6D5D3"/>
                                            <w:bottom w:val="none" w:sz="0" w:space="0" w:color="D6D5D3"/>
                                            <w:right w:val="none" w:sz="0" w:space="0" w:color="D6D5D3"/>
                                          </w:divBdr>
                                        </w:div>
                                        <w:div w:id="1534074889">
                                          <w:marLeft w:val="192"/>
                                          <w:marRight w:val="0"/>
                                          <w:marTop w:val="0"/>
                                          <w:marBottom w:val="192"/>
                                          <w:divBdr>
                                            <w:top w:val="none" w:sz="0" w:space="0" w:color="D6D5D3"/>
                                            <w:left w:val="none" w:sz="0" w:space="0" w:color="D6D5D3"/>
                                            <w:bottom w:val="none" w:sz="0" w:space="0" w:color="D6D5D3"/>
                                            <w:right w:val="none" w:sz="0" w:space="0" w:color="D6D5D3"/>
                                          </w:divBdr>
                                        </w:div>
                                        <w:div w:id="2024086870">
                                          <w:marLeft w:val="192"/>
                                          <w:marRight w:val="0"/>
                                          <w:marTop w:val="0"/>
                                          <w:marBottom w:val="192"/>
                                          <w:divBdr>
                                            <w:top w:val="none" w:sz="0" w:space="0" w:color="D6D5D3"/>
                                            <w:left w:val="none" w:sz="0" w:space="0" w:color="D6D5D3"/>
                                            <w:bottom w:val="none" w:sz="0" w:space="0" w:color="D6D5D3"/>
                                            <w:right w:val="none" w:sz="0" w:space="0" w:color="D6D5D3"/>
                                          </w:divBdr>
                                        </w:div>
                                        <w:div w:id="404184773">
                                          <w:marLeft w:val="192"/>
                                          <w:marRight w:val="0"/>
                                          <w:marTop w:val="0"/>
                                          <w:marBottom w:val="192"/>
                                          <w:divBdr>
                                            <w:top w:val="none" w:sz="0" w:space="0" w:color="D6D5D3"/>
                                            <w:left w:val="none" w:sz="0" w:space="0" w:color="D6D5D3"/>
                                            <w:bottom w:val="none" w:sz="0" w:space="0" w:color="D6D5D3"/>
                                            <w:right w:val="none" w:sz="0" w:space="0" w:color="D6D5D3"/>
                                          </w:divBdr>
                                        </w:div>
                                        <w:div w:id="23596823">
                                          <w:marLeft w:val="192"/>
                                          <w:marRight w:val="0"/>
                                          <w:marTop w:val="0"/>
                                          <w:marBottom w:val="192"/>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sChild>
            </w:div>
          </w:divsChild>
        </w:div>
        <w:div w:id="570894534">
          <w:marLeft w:val="0"/>
          <w:marRight w:val="0"/>
          <w:marTop w:val="0"/>
          <w:marBottom w:val="0"/>
          <w:divBdr>
            <w:top w:val="none" w:sz="0" w:space="0" w:color="auto"/>
            <w:left w:val="none" w:sz="0" w:space="0" w:color="auto"/>
            <w:bottom w:val="none" w:sz="0" w:space="0" w:color="auto"/>
            <w:right w:val="none" w:sz="0" w:space="0" w:color="auto"/>
          </w:divBdr>
          <w:divsChild>
            <w:div w:id="3020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2016-01-06T06:56:00Z</dcterms:created>
  <dcterms:modified xsi:type="dcterms:W3CDTF">2016-01-07T00:57:00Z</dcterms:modified>
</cp:coreProperties>
</file>